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ind w:left="454" w:firstLine="454"/>
        <w:contextualSpacing w:val="0"/>
        <w:jc w:val="both"/>
        <w:rPr>
          <w:sz w:val="28"/>
          <w:szCs w:val="28"/>
        </w:rPr>
      </w:pPr>
      <w:bookmarkStart w:colFirst="0" w:colLast="0" w:name="_mz23xnkd048v" w:id="0"/>
      <w:bookmarkEnd w:id="0"/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324475" cy="7162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16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ind w:left="454" w:firstLine="454"/>
        <w:contextualSpacing w:val="0"/>
        <w:jc w:val="both"/>
        <w:rPr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sz w:val="28"/>
          <w:szCs w:val="28"/>
          <w:rtl w:val="0"/>
        </w:rPr>
        <w:t xml:space="preserve">У навчальному посібнику пояснено етапи еволюції масового комунікування, природу та функції мови. Подано важливі теми з теорії ортології: імперативні та диспозитивні мовні норми; культура звертань і слововживання в засобах масової інформації; особливості нової лексики в ЗМІ; експресивний словотвір та інші. Практикум з культури української мови поглибить знання орфоепії, нової медійної термінології, правильного поєднання числівників з іменниками, орфографії та пунктуації; виробить навики літературного редагування. Навчальні матеріали з красномовства й мовотворчості спрямовані на ефективну реалізацію креативної, репрезентативної, культуроносної та інших функцій мови ЗМІ.</w:t>
      </w:r>
    </w:p>
    <w:p w:rsidR="00000000" w:rsidDel="00000000" w:rsidP="00000000" w:rsidRDefault="00000000" w:rsidRPr="00000000" w14:paraId="00000002">
      <w:pPr>
        <w:spacing w:line="360" w:lineRule="auto"/>
        <w:ind w:left="454" w:firstLine="454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студентів, аспірантів, журналістів, літературних редакторів.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