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Кафедра нових медій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Затверджено</w:t>
      </w:r>
    </w:p>
    <w:p w:rsidR="00000000" w:rsidDel="00000000" w:rsidP="00000000" w:rsidRDefault="00000000" w:rsidRPr="00000000" w14:paraId="0000000D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засіданні кафедри нових медій</w:t>
      </w:r>
    </w:p>
    <w:p w:rsidR="00000000" w:rsidDel="00000000" w:rsidP="00000000" w:rsidRDefault="00000000" w:rsidRPr="00000000" w14:paraId="0000000E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факультету журналістики</w:t>
      </w:r>
    </w:p>
    <w:p w:rsidR="00000000" w:rsidDel="00000000" w:rsidP="00000000" w:rsidRDefault="00000000" w:rsidRPr="00000000" w14:paraId="0000000F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10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(протокол № 1 від 31 серпня 2020 р.)</w:t>
      </w:r>
    </w:p>
    <w:p w:rsidR="00000000" w:rsidDel="00000000" w:rsidP="00000000" w:rsidRDefault="00000000" w:rsidRPr="00000000" w14:paraId="00000011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Завідувач кафедри ____________________</w:t>
      </w:r>
    </w:p>
    <w:p w:rsidR="00000000" w:rsidDel="00000000" w:rsidP="00000000" w:rsidRDefault="00000000" w:rsidRPr="00000000" w14:paraId="00000014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(доц. Габор Н.Б.)</w:t>
      </w:r>
    </w:p>
    <w:p w:rsidR="00000000" w:rsidDel="00000000" w:rsidP="00000000" w:rsidRDefault="00000000" w:rsidRPr="00000000" w14:paraId="00000015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Силабус з навчальної дисципліни «Медіафілософія»,</w:t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що викладається в межах ОПП (ОПН) «Журналістика»,  третього (освітньо-наукового) рівня вищої освіти для здобувачів з спеціальності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061 Журналістика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Львів 2020 р.</w:t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85.0" w:type="dxa"/>
        <w:jc w:val="left"/>
        <w:tblInd w:w="0.0" w:type="dxa"/>
        <w:tblLayout w:type="fixed"/>
        <w:tblLook w:val="0400"/>
      </w:tblPr>
      <w:tblGrid>
        <w:gridCol w:w="2351"/>
        <w:gridCol w:w="10534"/>
        <w:tblGridChange w:id="0">
          <w:tblGrid>
            <w:gridCol w:w="2351"/>
            <w:gridCol w:w="105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Медіафілософія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Адреса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Вул. Генерала Чупринки, 49, Львів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Факультет журналістики, кафедра зарубіжної преси та інформації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42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Спеціальність – 061 Журналістика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Викладачі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Габор Н.Б., канд..філолог наук, напр. Журналістика, доцент каф-ри нових меді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Nat.gabor@gmail.com,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http://journ.lnu.edu.ua/employee/habor-n-b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Консультації по курсу відбуваються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Консультації в день проведення лекцій чи в інший день (за попередньою домовленістю). Також можливі он-лайн консультації через FB/електронну пошту викладача.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color w:val="000000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https://mediaphilosophykrakow.blogspot.com/2018/09/2018-2019.html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Інформація про 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Курс розроблено таким чином, щоб надати учасникам необхідні знання, обов’язкові для того, щоб  зрозуміти як відбувались зміни комунікативної техніки і як вони впливали на історичний розвиток людства, як функціонує сучасне змедіатизоване суспільство, як сучасні медіа взаємодіють з людиною та змінюють її свідомість. Тому у курсі представлено як огляд медіа філософських концепцій, так і процесів та інструментів, які потрібні для аналізу найновіших практик 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Коротка анотація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Дисципліна «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Медіафілософія</w:t>
            </w:r>
            <w:r w:rsidDel="00000000" w:rsidR="00000000" w:rsidRPr="00000000">
              <w:rPr>
                <w:color w:val="000000"/>
                <w:rtl w:val="0"/>
              </w:rPr>
              <w:t xml:space="preserve">» є вибірковою дисципліною з спеціальності 061 - Журналістика для освітньої програми доктор філософії, яка викладається у четвертому семестрі в обсязі 3 кредитів (за Європейською Кредитно-Трансферною Системою ECTS).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Мета та цілі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Метою вивчення вибіркової дисципліни «Медіафілософія» є ознайомлення студентів з медіафілософським баченням того, як сучасні ЗМК творять «картини світу», як базові для філософії поняття буття та свідомості змінюються на медіабуття, та медіасвідомість.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Так званий “медіальний поворот” - це нові можливості для філософської рефлексії дисципліни Медіафілософія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* Мета та цілі вивчення дисципліни формується відповідно до навчальної програми. Це мусить бути короткий та чітко сформований запис про досягнення головного результату при вивченні даного курсу.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Style w:val="Heading3"/>
              <w:shd w:fill="ffffff" w:val="clea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Основна література: Санакуєв Медіафілософія як нова галузь філософського знання </w:t>
            </w:r>
            <w:hyperlink r:id="rId9">
              <w:r w:rsidDel="00000000" w:rsidR="00000000" w:rsidRPr="00000000">
                <w:rPr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https://www.researchgate.net/publication/322699168_Mediafilosofia_ak_nova_galuz_filosofskogo_znanna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Style w:val="Heading1"/>
              <w:shd w:fill="ffffff" w:val="clear"/>
              <w:rPr>
                <w:rFonts w:ascii="Times New Roman" w:cs="Times New Roman" w:eastAsia="Times New Roman" w:hAnsi="Times New Roman"/>
                <w:b w:val="0"/>
                <w:color w:val="373a3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shd w:fill="f7f7f7" w:val="clear"/>
                <w:rtl w:val="0"/>
              </w:rPr>
              <w:t xml:space="preserve">McLuhan, Herbert Marshall. Understanding Media: The Extensions Of Man. 1st Ed.: McGraw Hill, 1964; Reissued by MIT Press, 1994./ Г. M. Маклюэн. Понимание Медиа: Внешние расширения человека. — Перевод с английского: В. Г. Николаев. — М., 2003. // Электронная публикация: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Центр гуманитарных технологий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shd w:fill="f7f7f7" w:val="clear"/>
                <w:rtl w:val="0"/>
              </w:rPr>
              <w:t xml:space="preserve">. — 15.11.2008.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URL: https://gtmarket.ru/laboratory/basis/3528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Style w:val="Heading1"/>
              <w:shd w:fill="ffffff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73a3c"/>
                <w:sz w:val="24"/>
                <w:szCs w:val="24"/>
                <w:highlight w:val="white"/>
                <w:rtl w:val="0"/>
              </w:rPr>
              <w:t xml:space="preserve">Потятиник Б. Медіа: ключі до розуміння. Серія: Медіакритика. - Львів: ПАІС, 2004. - 312 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Mike Sandbothe </w:t>
            </w:r>
          </w:p>
          <w:p w:rsidR="00000000" w:rsidDel="00000000" w:rsidP="00000000" w:rsidRDefault="00000000" w:rsidRPr="00000000" w14:paraId="00000057">
            <w:pPr>
              <w:pStyle w:val="Heading1"/>
              <w:shd w:fill="ffffff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Media Philosophy and Media Education in the Internet Age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http://www.sandbothe.net/260.html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Додаткова література для обговорень на семінарах: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https://mediaphilosophykrakow.blogspot.com/2018/09/2018-2019.html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Тривалість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48годин _________________   год.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Обсяг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 них 32 годин лекцій, 16 годин практичних занять та 42 годин самостійної роботи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Після завершення цього курсу студент буде :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Знати </w:t>
            </w:r>
            <w:r w:rsidDel="00000000" w:rsidR="00000000" w:rsidRPr="00000000">
              <w:rPr>
                <w:color w:val="000000"/>
                <w:rtl w:val="0"/>
              </w:rPr>
              <w:t xml:space="preserve">онтологічні </w:t>
            </w:r>
            <w:r w:rsidDel="00000000" w:rsidR="00000000" w:rsidRPr="00000000">
              <w:rPr>
                <w:rtl w:val="0"/>
              </w:rPr>
              <w:t xml:space="preserve">характеристики медіареальності;  основні  дослідження з медіафілософії</w:t>
            </w:r>
            <w:r w:rsidDel="00000000" w:rsidR="00000000" w:rsidRPr="00000000">
              <w:rPr>
                <w:color w:val="000000"/>
                <w:rtl w:val="0"/>
              </w:rPr>
              <w:t xml:space="preserve">, основні тези, напрямки, базові тексти.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аналізувати тексти з проблеми, тлумачити тенденції з медіасфери, аналізувати стратегії медіа впливів у суспільстві.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Медіафілософія, медіареальність, медіабуття, медіасвідомість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Формат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Очний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Проведення лекцій, лабораторних робіт та консультації для кращого розуміння тем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СХЕМІ КУРСУ**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Іспит в кінці семестру – комбінований. Оцінка складається з балів, набраних за модулі, плюс бали за виконання науково-дослідного завдання. Усі  завдання повинні бути подані у письмовій формі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Для вивчення курсу студенти потребують базових знань з і</w:t>
            </w:r>
            <w:r w:rsidDel="00000000" w:rsidR="00000000" w:rsidRPr="00000000">
              <w:rPr>
                <w:rtl w:val="0"/>
              </w:rPr>
              <w:t xml:space="preserve">сторії та філософії наки, Масові комунікації, Основи журналістики та журналістикознавства, теорії культури.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Презентації, лекції, групові та індивідуальні проекти, дискусії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Вивчення курсу не потребуватиме використання програмного забезпечення, крім загально вживаних програм і операційних систем.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Оцінювання проводиться за 100-бальною шкалою. 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Бали нараховуються за наступним співідношенням: 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•практичне/самостійне опанування основної літератури, її письмовий огляд та презентація на заняттях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тощо : 25% семестрової оцінки; 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максимальна кількість балів_25 б____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Робота з додатковими заруб джерелами та їх презентація: 25% семестрової оцінки; максимальна кількість балів__25б____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• Курсовий проект-50 %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. Максимальна кількість балів__40__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Участь у дискусіях та семінарах-10б.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Підсумкова максимальна кількість балів____100___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Письмові роботи:</w:t>
            </w:r>
            <w:r w:rsidDel="00000000" w:rsidR="00000000" w:rsidRPr="00000000">
              <w:rPr>
                <w:rtl w:val="0"/>
              </w:rPr>
              <w:t xml:space="preserve"> Очікується, що студенти виконають декілька видів письмових робіт (есе, вирішення кейсу). </w:t>
            </w:r>
            <w:r w:rsidDel="00000000" w:rsidR="00000000" w:rsidRPr="00000000">
              <w:rPr>
                <w:b w:val="1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tl w:val="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Del="00000000" w:rsidR="00000000" w:rsidRPr="00000000">
              <w:rPr>
                <w:b w:val="1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rtl w:val="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Del="00000000" w:rsidR="00000000" w:rsidRPr="00000000">
              <w:rPr>
                <w:b w:val="1"/>
                <w:rtl w:val="0"/>
              </w:rPr>
              <w:t xml:space="preserve">Література.</w:t>
            </w:r>
            <w:r w:rsidDel="00000000" w:rsidR="00000000" w:rsidRPr="00000000">
              <w:rPr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color w:val="000000"/>
                <w:rtl w:val="0"/>
              </w:rPr>
              <w:t xml:space="preserve"> Враховуються бали набрані за виконання індивідуальних,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недопустимий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87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Жодні форми порушення академічної доброчесності не толеруються.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Питання до заліку чи екзамену.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Наводиться перелік питань та завдань для проведення підсумкової оцінки знань. Також можна надати посилання на веб-сторінку де розміщені вказані матеріали.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90">
      <w:pPr>
        <w:jc w:val="both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1"/>
      <w:numFmt w:val="bullet"/>
      <w:lvlText w:val="-"/>
      <w:lvlJc w:val="left"/>
      <w:pPr>
        <w:ind w:left="720" w:hanging="360"/>
      </w:pPr>
      <w:rPr>
        <w:rFonts w:ascii="Garamond" w:cs="Garamond" w:eastAsia="Garamond" w:hAnsi="Garamond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color w:val="000000"/>
      <w:sz w:val="27"/>
      <w:szCs w:val="27"/>
    </w:rPr>
  </w:style>
  <w:style w:type="paragraph" w:styleId="Heading4">
    <w:name w:val="heading 4"/>
    <w:basedOn w:val="Normal"/>
    <w:next w:val="Normal"/>
    <w:pPr/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E290A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 w:val="1"/>
    <w:rsid w:val="009D46E4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3">
    <w:name w:val="heading 3"/>
    <w:basedOn w:val="a"/>
    <w:link w:val="30"/>
    <w:uiPriority w:val="9"/>
    <w:qFormat w:val="1"/>
    <w:rsid w:val="00477E20"/>
    <w:pPr>
      <w:spacing w:after="100" w:afterAutospacing="1" w:before="100" w:beforeAutospacing="1"/>
      <w:outlineLvl w:val="2"/>
    </w:pPr>
    <w:rPr>
      <w:b w:val="1"/>
      <w:bCs w:val="1"/>
      <w:color w:val="auto"/>
      <w:sz w:val="27"/>
      <w:szCs w:val="27"/>
      <w:lang w:eastAsia="uk-UA" w:val="uk-UA"/>
    </w:rPr>
  </w:style>
  <w:style w:type="paragraph" w:styleId="4">
    <w:name w:val="heading 4"/>
    <w:basedOn w:val="a"/>
    <w:link w:val="40"/>
    <w:uiPriority w:val="9"/>
    <w:qFormat w:val="1"/>
    <w:rsid w:val="00477E20"/>
    <w:pPr>
      <w:spacing w:after="100" w:afterAutospacing="1" w:before="100" w:beforeAutospacing="1"/>
      <w:outlineLvl w:val="3"/>
    </w:pPr>
    <w:rPr>
      <w:b w:val="1"/>
      <w:bCs w:val="1"/>
      <w:color w:val="auto"/>
      <w:lang w:eastAsia="uk-UA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qFormat w:val="1"/>
    <w:rsid w:val="004E290A"/>
    <w:pPr>
      <w:spacing w:after="200" w:line="276" w:lineRule="auto"/>
      <w:ind w:left="720"/>
      <w:contextualSpacing w:val="1"/>
    </w:pPr>
    <w:rPr>
      <w:rFonts w:ascii="Calibri" w:cs="Calibri" w:eastAsia="Calibri" w:hAnsi="Calibri"/>
      <w:sz w:val="22"/>
      <w:szCs w:val="22"/>
      <w:lang w:val="tr-TR"/>
    </w:rPr>
  </w:style>
  <w:style w:type="character" w:styleId="a4">
    <w:name w:val="Hyperlink"/>
    <w:basedOn w:val="a0"/>
    <w:uiPriority w:val="99"/>
    <w:semiHidden w:val="1"/>
    <w:unhideWhenUsed w:val="1"/>
    <w:rsid w:val="00472ECD"/>
    <w:rPr>
      <w:color w:val="0000ff"/>
      <w:u w:val="single"/>
    </w:rPr>
  </w:style>
  <w:style w:type="character" w:styleId="30" w:customStyle="1">
    <w:name w:val="Заголовок 3 Знак"/>
    <w:basedOn w:val="a0"/>
    <w:link w:val="3"/>
    <w:uiPriority w:val="9"/>
    <w:rsid w:val="00477E20"/>
    <w:rPr>
      <w:rFonts w:ascii="Times New Roman" w:cs="Times New Roman" w:eastAsia="Times New Roman" w:hAnsi="Times New Roman"/>
      <w:b w:val="1"/>
      <w:bCs w:val="1"/>
      <w:sz w:val="27"/>
      <w:szCs w:val="27"/>
      <w:lang w:eastAsia="uk-UA"/>
    </w:rPr>
  </w:style>
  <w:style w:type="character" w:styleId="40" w:customStyle="1">
    <w:name w:val="Заголовок 4 Знак"/>
    <w:basedOn w:val="a0"/>
    <w:link w:val="4"/>
    <w:uiPriority w:val="9"/>
    <w:rsid w:val="00477E20"/>
    <w:rPr>
      <w:rFonts w:ascii="Times New Roman" w:cs="Times New Roman" w:eastAsia="Times New Roman" w:hAnsi="Times New Roman"/>
      <w:b w:val="1"/>
      <w:bCs w:val="1"/>
      <w:sz w:val="24"/>
      <w:szCs w:val="24"/>
      <w:lang w:eastAsia="uk-UA"/>
    </w:rPr>
  </w:style>
  <w:style w:type="paragraph" w:styleId="a5">
    <w:name w:val="Normal (Web)"/>
    <w:basedOn w:val="a"/>
    <w:uiPriority w:val="99"/>
    <w:semiHidden w:val="1"/>
    <w:unhideWhenUsed w:val="1"/>
    <w:rsid w:val="00477E20"/>
    <w:pPr>
      <w:spacing w:after="100" w:afterAutospacing="1" w:before="100" w:beforeAutospacing="1"/>
    </w:pPr>
    <w:rPr>
      <w:color w:val="auto"/>
      <w:lang w:eastAsia="uk-UA" w:val="uk-UA"/>
    </w:rPr>
  </w:style>
  <w:style w:type="character" w:styleId="a6">
    <w:name w:val="Emphasis"/>
    <w:basedOn w:val="a0"/>
    <w:uiPriority w:val="20"/>
    <w:qFormat w:val="1"/>
    <w:rsid w:val="00477E20"/>
    <w:rPr>
      <w:i w:val="1"/>
      <w:iCs w:val="1"/>
    </w:rPr>
  </w:style>
  <w:style w:type="character" w:styleId="10" w:customStyle="1">
    <w:name w:val="Заголовок 1 Знак"/>
    <w:basedOn w:val="a0"/>
    <w:link w:val="1"/>
    <w:uiPriority w:val="9"/>
    <w:rsid w:val="009D46E4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val="en-US"/>
    </w:rPr>
  </w:style>
  <w:style w:type="character" w:styleId="url" w:customStyle="1">
    <w:name w:val="url"/>
    <w:basedOn w:val="a0"/>
    <w:rsid w:val="002A667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ediaphilosophykrakow.blogspot.com/2018/09/2018-2019.html" TargetMode="External"/><Relationship Id="rId10" Type="http://schemas.openxmlformats.org/officeDocument/2006/relationships/hyperlink" Target="http://www.sandbothe.net/260.html" TargetMode="External"/><Relationship Id="rId9" Type="http://schemas.openxmlformats.org/officeDocument/2006/relationships/hyperlink" Target="https://www.researchgate.net/publication/322699168_Mediafilosofia_ak_nova_galuz_filosofskogo_znann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journ.lnu.edu.ua/employee/habor-n-b" TargetMode="External"/><Relationship Id="rId8" Type="http://schemas.openxmlformats.org/officeDocument/2006/relationships/hyperlink" Target="https://mediaphilosophykrakow.blogspot.com/2018/09/2018-2019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bX+UMKAHN7BiLUKMfm2eCdA/w==">AMUW2mVnyHAQgyfePISRxJ9TXV+YKq36T1Qo9cKtvONL8/rs+KUKDgnHroIxN3eJikyswkL6QJVsS2UB2Rc/6oVvnsZxR6j9qmOod85FNA/BNTwjWgakNXc=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2019-10-09T20:20:00Z</dcterms:created>
  <dc:creator>Павло</dc:creator>
</cp:coreProperties>
</file>