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76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МІНІСТЕРСТВО ОСВІТИ І НАУКИ УКРАЇНИ</w:t>
      </w:r>
    </w:p>
    <w:p w:rsidR="00000000" w:rsidDel="00000000" w:rsidP="00000000" w:rsidRDefault="00000000" w:rsidRPr="00000000" w14:paraId="00000002">
      <w:pPr>
        <w:ind w:right="76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Львівський національний університет імені Івана Франка</w:t>
      </w:r>
    </w:p>
    <w:p w:rsidR="00000000" w:rsidDel="00000000" w:rsidP="00000000" w:rsidRDefault="00000000" w:rsidRPr="00000000" w14:paraId="00000003">
      <w:pPr>
        <w:ind w:right="76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Факультет журналістики</w:t>
      </w:r>
    </w:p>
    <w:p w:rsidR="00000000" w:rsidDel="00000000" w:rsidP="00000000" w:rsidRDefault="00000000" w:rsidRPr="00000000" w14:paraId="00000004">
      <w:pPr>
        <w:ind w:right="76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Кафедра нових медій</w:t>
      </w:r>
    </w:p>
    <w:p w:rsidR="00000000" w:rsidDel="00000000" w:rsidP="00000000" w:rsidRDefault="00000000" w:rsidRPr="00000000" w14:paraId="00000005">
      <w:pPr>
        <w:ind w:right="76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76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76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76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76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76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764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Затверджено</w:t>
      </w:r>
    </w:p>
    <w:p w:rsidR="00000000" w:rsidDel="00000000" w:rsidP="00000000" w:rsidRDefault="00000000" w:rsidRPr="00000000" w14:paraId="0000000C">
      <w:pPr>
        <w:ind w:right="764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На засіданні кафедри нових медій</w:t>
      </w:r>
    </w:p>
    <w:p w:rsidR="00000000" w:rsidDel="00000000" w:rsidP="00000000" w:rsidRDefault="00000000" w:rsidRPr="00000000" w14:paraId="0000000D">
      <w:pPr>
        <w:ind w:right="764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факультету журналістики</w:t>
      </w:r>
    </w:p>
    <w:p w:rsidR="00000000" w:rsidDel="00000000" w:rsidP="00000000" w:rsidRDefault="00000000" w:rsidRPr="00000000" w14:paraId="0000000E">
      <w:pPr>
        <w:ind w:right="764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Львівського національного університету імені Івана Франка</w:t>
      </w:r>
    </w:p>
    <w:p w:rsidR="00000000" w:rsidDel="00000000" w:rsidP="00000000" w:rsidRDefault="00000000" w:rsidRPr="00000000" w14:paraId="0000000F">
      <w:pPr>
        <w:ind w:right="764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(протокол № 1 від 31 серпня 2020 р.)</w:t>
      </w:r>
    </w:p>
    <w:p w:rsidR="00000000" w:rsidDel="00000000" w:rsidP="00000000" w:rsidRDefault="00000000" w:rsidRPr="00000000" w14:paraId="00000010">
      <w:pPr>
        <w:ind w:right="764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764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764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Завідувач кафедри __________________</w:t>
      </w:r>
    </w:p>
    <w:p w:rsidR="00000000" w:rsidDel="00000000" w:rsidP="00000000" w:rsidRDefault="00000000" w:rsidRPr="00000000" w14:paraId="00000013">
      <w:pPr>
        <w:ind w:right="764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(доц. Габор Н.Б.)</w:t>
      </w:r>
    </w:p>
    <w:p w:rsidR="00000000" w:rsidDel="00000000" w:rsidP="00000000" w:rsidRDefault="00000000" w:rsidRPr="00000000" w14:paraId="00000014">
      <w:pPr>
        <w:ind w:right="76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76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76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76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76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76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76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Силабус з навчальної дисципліни «Цифрова медіакультура»,</w:t>
      </w:r>
    </w:p>
    <w:p w:rsidR="00000000" w:rsidDel="00000000" w:rsidP="00000000" w:rsidRDefault="00000000" w:rsidRPr="00000000" w14:paraId="0000001B">
      <w:pPr>
        <w:ind w:right="76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що викладається в межах ОПП (ОПН) “Журналістика” другого (магістерського) рівня вищої освіти для здобувачів з спеціальності 061-Журналістика</w:t>
      </w:r>
    </w:p>
    <w:p w:rsidR="00000000" w:rsidDel="00000000" w:rsidP="00000000" w:rsidRDefault="00000000" w:rsidRPr="00000000" w14:paraId="0000001C">
      <w:pPr>
        <w:ind w:right="76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76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right="76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right="76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right="76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76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right="76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76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76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right="76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76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right="76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right="76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right="76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right="76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right="76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right="76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right="76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right="76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right="76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right="76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right="76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right="76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Львів 2020 р.</w:t>
      </w:r>
    </w:p>
    <w:p w:rsidR="00000000" w:rsidDel="00000000" w:rsidP="00000000" w:rsidRDefault="00000000" w:rsidRPr="00000000" w14:paraId="00000033">
      <w:pPr>
        <w:ind w:right="76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right="76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right="764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right="764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5"/>
        <w:gridCol w:w="7655"/>
        <w:tblGridChange w:id="0">
          <w:tblGrid>
            <w:gridCol w:w="2835"/>
            <w:gridCol w:w="7655"/>
          </w:tblGrid>
        </w:tblGridChange>
      </w:tblGrid>
      <w:tr>
        <w:tc>
          <w:tcPr/>
          <w:p w:rsidR="00000000" w:rsidDel="00000000" w:rsidP="00000000" w:rsidRDefault="00000000" w:rsidRPr="00000000" w14:paraId="00000037">
            <w:pPr>
              <w:ind w:right="764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Назва курсу</w:t>
            </w:r>
          </w:p>
        </w:tc>
        <w:tc>
          <w:tcPr/>
          <w:p w:rsidR="00000000" w:rsidDel="00000000" w:rsidP="00000000" w:rsidRDefault="00000000" w:rsidRPr="00000000" w14:paraId="00000038">
            <w:pPr>
              <w:ind w:right="764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Медіакультура (Цифрова медіакультура)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ind w:right="764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Адреса викладання курсу</w:t>
            </w:r>
          </w:p>
        </w:tc>
        <w:tc>
          <w:tcPr/>
          <w:p w:rsidR="00000000" w:rsidDel="00000000" w:rsidP="00000000" w:rsidRDefault="00000000" w:rsidRPr="00000000" w14:paraId="0000003A">
            <w:pPr>
              <w:ind w:left="-758" w:right="764" w:firstLine="142.00000000000003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Вул. Генерала Чупринки, 49, Львів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ind w:right="764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Факультет та кафедра, за якою закріплена дисципліна</w:t>
            </w:r>
          </w:p>
        </w:tc>
        <w:tc>
          <w:tcPr/>
          <w:p w:rsidR="00000000" w:rsidDel="00000000" w:rsidP="00000000" w:rsidRDefault="00000000" w:rsidRPr="00000000" w14:paraId="0000003C">
            <w:pPr>
              <w:shd w:fill="ffffff" w:val="clear"/>
              <w:ind w:right="764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Факультет журналістики, кафедра нових медій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ind w:right="764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Галузь знань, шифр та назва спеціальності</w:t>
            </w:r>
          </w:p>
        </w:tc>
        <w:tc>
          <w:tcPr/>
          <w:p w:rsidR="00000000" w:rsidDel="00000000" w:rsidP="00000000" w:rsidRDefault="00000000" w:rsidRPr="00000000" w14:paraId="0000003E">
            <w:pPr>
              <w:shd w:fill="ffffff" w:val="clear"/>
              <w:ind w:right="764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Галузь знань – 06 Журналістика, </w:t>
            </w:r>
          </w:p>
          <w:p w:rsidR="00000000" w:rsidDel="00000000" w:rsidP="00000000" w:rsidRDefault="00000000" w:rsidRPr="00000000" w14:paraId="0000003F">
            <w:pPr>
              <w:shd w:fill="ffffff" w:val="clear"/>
              <w:ind w:right="764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Спеціальність – 061 Журналістика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ind w:right="764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Викладач курсу</w:t>
            </w:r>
          </w:p>
        </w:tc>
        <w:tc>
          <w:tcPr/>
          <w:p w:rsidR="00000000" w:rsidDel="00000000" w:rsidP="00000000" w:rsidRDefault="00000000" w:rsidRPr="00000000" w14:paraId="00000041">
            <w:pPr>
              <w:ind w:right="764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Габор Н.Б., кандидат філолог наук, напрямку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Журналістика</w:t>
            </w:r>
            <w:r w:rsidDel="00000000" w:rsidR="00000000" w:rsidRPr="00000000">
              <w:rPr>
                <w:color w:val="000000"/>
                <w:rtl w:val="0"/>
              </w:rPr>
              <w:t xml:space="preserve">, доцент каф-ри нових медій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ind w:right="764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Контактна інформація викладачів</w:t>
            </w:r>
          </w:p>
        </w:tc>
        <w:tc>
          <w:tcPr/>
          <w:p w:rsidR="00000000" w:rsidDel="00000000" w:rsidP="00000000" w:rsidRDefault="00000000" w:rsidRPr="00000000" w14:paraId="00000043">
            <w:pPr>
              <w:ind w:right="764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Nat.gabor@gmail.com, </w:t>
            </w: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http://journ.lnu.edu.ua/employee/habor-n-b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ind w:right="764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Консультації з курсу відбуваються</w:t>
            </w:r>
          </w:p>
        </w:tc>
        <w:tc>
          <w:tcPr/>
          <w:p w:rsidR="00000000" w:rsidDel="00000000" w:rsidP="00000000" w:rsidRDefault="00000000" w:rsidRPr="00000000" w14:paraId="00000045">
            <w:pPr>
              <w:ind w:right="764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Консультації в день проведення лекцій чи в інший день (за попередньою домовленістю). Також можливі онлайн-консультації через FB/електронну пошту викладача.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ind w:right="764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Сторінка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ind w:right="764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ind w:right="764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Інформація про курс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Дисципліна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Медіакультура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 є вибірковою дисципліною зі спеціальності 061 «Журналістика» для освітньої програми магістр, яка викладається у другому семестрі в обсязі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кредити 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ind w:right="764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Коротка анотація курсу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Курс для магістрів „МЕДІАКУЛЬТУРА” міждисциплінарний. Він передбачає попередні знання матеріалу з основ історії культури, культури, філософії, вступу до журналістики, теорії та історії соціальних комунікацій. Матеріал курсу пропонує аналіз для розуміння того, чим є медіакультура в Україні та світі, які проблеми маємо сьогодні в сфері медіакультури, що таке мережеві культурні спільноти, культурний soft, які новітні культурні медіапрактики з’явилися завдяки поширенню мережі.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ind w:right="764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Мета та цілі курсу</w:t>
            </w:r>
          </w:p>
        </w:tc>
        <w:tc>
          <w:tcPr/>
          <w:p w:rsidR="00000000" w:rsidDel="00000000" w:rsidP="00000000" w:rsidRDefault="00000000" w:rsidRPr="00000000" w14:paraId="0000004D">
            <w:pPr>
              <w:ind w:right="764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Метою викладання навчальної дисципліни “Медіакультура”  є поглиблення знань про становлення та сучасний стан феномену творення та плекання культури засобами медіа, в т.ч. комунікаційних технологій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right="764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ind w:right="764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Література для вивчення дисципліни</w:t>
            </w:r>
          </w:p>
        </w:tc>
        <w:tc>
          <w:tcPr/>
          <w:p w:rsidR="00000000" w:rsidDel="00000000" w:rsidP="00000000" w:rsidRDefault="00000000" w:rsidRPr="00000000" w14:paraId="00000050">
            <w:pPr>
              <w:pStyle w:val="Heading3"/>
              <w:shd w:fill="ffffff" w:val="clear"/>
              <w:spacing w:after="0" w:before="0" w:lineRule="auto"/>
              <w:ind w:right="764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b w:val="0"/>
                <w:i w:val="1"/>
                <w:sz w:val="24"/>
                <w:szCs w:val="24"/>
                <w:rtl w:val="0"/>
              </w:rPr>
              <w:t xml:space="preserve">Основна література:</w:t>
            </w:r>
          </w:p>
          <w:p w:rsidR="00000000" w:rsidDel="00000000" w:rsidP="00000000" w:rsidRDefault="00000000" w:rsidRPr="00000000" w14:paraId="0000005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Зражевська Ніна. Медіакультура як об’єкт соціокомунікаційних досліджень. Режим доступу:  </w:t>
            </w: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http://prima.franko.lviv.ua/faculty/jur/vypusk7/n13/tv13-10.pdf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Зражевська Ніна Нові медіа і нові форми комунікації в медіакультурі Режим доступу:  </w:t>
            </w: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http://apmk_2013_14_16%20(3).pdf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hd w:fill="ffffff" w:val="clear"/>
              <w:spacing w:after="24" w:before="280" w:lineRule="auto"/>
              <w:ind w:left="384" w:firstLine="0"/>
              <w:rPr>
                <w:color w:val="202122"/>
              </w:rPr>
            </w:pPr>
            <w:r w:rsidDel="00000000" w:rsidR="00000000" w:rsidRPr="00000000">
              <w:rPr>
                <w:i w:val="1"/>
                <w:color w:val="202122"/>
                <w:rtl w:val="0"/>
              </w:rPr>
              <w:t xml:space="preserve">Кастельс М.</w:t>
            </w:r>
            <w:r w:rsidDel="00000000" w:rsidR="00000000" w:rsidRPr="00000000">
              <w:rPr>
                <w:color w:val="202122"/>
                <w:rtl w:val="0"/>
              </w:rPr>
              <w:t xml:space="preserve"> Информационная эпоха: экономика, общество и культура / Пер. с англ. под науч. ред. О. И. Шкаратана. Москва: ГУ ВШЭ, 2000. 608 с.</w:t>
            </w:r>
          </w:p>
          <w:p w:rsidR="00000000" w:rsidDel="00000000" w:rsidP="00000000" w:rsidRDefault="00000000" w:rsidRPr="00000000" w14:paraId="00000054">
            <w:pPr>
              <w:shd w:fill="ffffff" w:val="clear"/>
              <w:spacing w:after="24" w:before="280" w:lineRule="auto"/>
              <w:ind w:left="408" w:firstLine="0"/>
              <w:rPr>
                <w:color w:val="202122"/>
              </w:rPr>
            </w:pPr>
            <w:r w:rsidDel="00000000" w:rsidR="00000000" w:rsidRPr="00000000">
              <w:rPr>
                <w:color w:val="202122"/>
                <w:rtl w:val="0"/>
              </w:rPr>
              <w:t xml:space="preserve">Луман Н. Реальность массмедиа / Никлас Луман. Москва: Праксис, 2005. 256 с.</w:t>
            </w:r>
          </w:p>
          <w:p w:rsidR="00000000" w:rsidDel="00000000" w:rsidP="00000000" w:rsidRDefault="00000000" w:rsidRPr="00000000" w14:paraId="00000055">
            <w:pPr>
              <w:shd w:fill="ffffff" w:val="clear"/>
              <w:spacing w:after="24" w:before="280" w:lineRule="auto"/>
              <w:ind w:left="408" w:firstLine="0"/>
              <w:rPr>
                <w:color w:val="202122"/>
              </w:rPr>
            </w:pPr>
            <w:r w:rsidDel="00000000" w:rsidR="00000000" w:rsidRPr="00000000">
              <w:rPr>
                <w:color w:val="202122"/>
                <w:rtl w:val="0"/>
              </w:rPr>
              <w:t xml:space="preserve">Маклюэн М. Понимание медиа: внешние расширения человека / Маршалл Маклюэн. Москва: Кучко-во поле, 2007. 464 с.</w:t>
            </w:r>
          </w:p>
          <w:p w:rsidR="00000000" w:rsidDel="00000000" w:rsidP="00000000" w:rsidRDefault="00000000" w:rsidRPr="00000000" w14:paraId="00000056">
            <w:pPr>
              <w:shd w:fill="ffffff" w:val="clear"/>
              <w:spacing w:after="24" w:before="280" w:lineRule="auto"/>
              <w:ind w:left="384" w:firstLine="0"/>
              <w:rPr>
                <w:color w:val="202122"/>
              </w:rPr>
            </w:pPr>
            <w:r w:rsidDel="00000000" w:rsidR="00000000" w:rsidRPr="00000000">
              <w:rPr>
                <w:color w:val="202122"/>
                <w:rtl w:val="0"/>
              </w:rPr>
              <w:t xml:space="preserve">Манович Л. «Культурный софт» / Пер.: Екатерина Арье, Оксана Мороз. </w:t>
            </w:r>
            <w:r w:rsidDel="00000000" w:rsidR="00000000" w:rsidRPr="00000000">
              <w:rPr>
                <w:rtl w:val="0"/>
              </w:rPr>
              <w:t xml:space="preserve">Режим доступу:  </w:t>
            </w:r>
            <w:hyperlink r:id="rId9">
              <w:r w:rsidDel="00000000" w:rsidR="00000000" w:rsidRPr="00000000">
                <w:rPr>
                  <w:color w:val="663366"/>
                  <w:u w:val="single"/>
                  <w:rtl w:val="0"/>
                </w:rPr>
                <w:t xml:space="preserve">https://web.archive.org/web/20180425062856/http://cultlook.org/lm_cultural_software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hd w:fill="ffffff" w:val="clear"/>
              <w:spacing w:after="24" w:before="280" w:lineRule="auto"/>
              <w:ind w:left="408" w:firstLine="0"/>
              <w:rPr>
                <w:color w:val="202122"/>
              </w:rPr>
            </w:pPr>
            <w:r w:rsidDel="00000000" w:rsidR="00000000" w:rsidRPr="00000000">
              <w:rPr>
                <w:color w:val="202122"/>
                <w:rtl w:val="0"/>
              </w:rPr>
              <w:t xml:space="preserve">Медіакультура особистості: соціально-психологічний підхід: навчально-методичний посібник / За ред. Л. А. Найдьонової, О. Т. Баришпольця; Національна академія педагогічних наук України, Інститут соціальної та політичної психології. Київ: Міленіум, 2010. 440 с.</w:t>
            </w:r>
          </w:p>
          <w:p w:rsidR="00000000" w:rsidDel="00000000" w:rsidP="00000000" w:rsidRDefault="00000000" w:rsidRPr="00000000" w14:paraId="00000058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Скорик А. Медіакультура як реальність медіасередовища. Режим доступу:   </w:t>
            </w: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http://www.irbis-nbuv.gov.ua/cgi-bin/irbis_nbuv/cgiirbis_64.exe?I21DBN=LINK&amp;P21DBN=UJRN&amp;Z21ID=&amp;S21REF=10&amp;S21CNR=20&amp;S21STN=1&amp;S21FMT=ASP_meta&amp;C21COM=S&amp;2_S21P03=FILA=&amp;2_S21STR=NZTNPUm_2014_3_3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right="764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ind w:right="764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Тривалість курсу</w:t>
            </w:r>
          </w:p>
        </w:tc>
        <w:tc>
          <w:tcPr/>
          <w:p w:rsidR="00000000" w:rsidDel="00000000" w:rsidP="00000000" w:rsidRDefault="00000000" w:rsidRPr="00000000" w14:paraId="0000005D">
            <w:pPr>
              <w:ind w:right="764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34</w:t>
            </w:r>
            <w:r w:rsidDel="00000000" w:rsidR="00000000" w:rsidRPr="00000000">
              <w:rPr>
                <w:color w:val="000000"/>
                <w:rtl w:val="0"/>
              </w:rPr>
              <w:t xml:space="preserve"> год.</w:t>
            </w:r>
          </w:p>
          <w:p w:rsidR="00000000" w:rsidDel="00000000" w:rsidP="00000000" w:rsidRDefault="00000000" w:rsidRPr="00000000" w14:paraId="0000005E">
            <w:pPr>
              <w:ind w:right="764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rtl w:val="0"/>
              </w:rPr>
              <w:t xml:space="preserve"> кредити</w:t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ind w:right="764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Обсяг курсу</w:t>
            </w:r>
          </w:p>
        </w:tc>
        <w:tc>
          <w:tcPr/>
          <w:p w:rsidR="00000000" w:rsidDel="00000000" w:rsidP="00000000" w:rsidRDefault="00000000" w:rsidRPr="00000000" w14:paraId="00000060">
            <w:pPr>
              <w:ind w:right="764"/>
              <w:rPr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З них 16 годин лекцій, 16 годин практичних занять та 42 годин самостійної роботи</w:t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ind w:right="764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Очікувані результати навчання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360" w:lineRule="auto"/>
              <w:ind w:left="1440" w:hanging="1440"/>
              <w:jc w:val="both"/>
              <w:rPr/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повинен знати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історію розвитку медіакультури;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специфіку медіакультури;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особливості виявів сучасної медіакультури;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як культура функціонує через систему медій;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візуальність медіакультури;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 творчість мережевих фан-спільнот як частину сучасної медіакультури;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проблеми, пов’язані з сучасним розвитком медіакультури;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2"/>
              </w:numPr>
              <w:spacing w:after="280" w:before="0" w:lineRule="auto"/>
              <w:ind w:left="720" w:hanging="360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специфіку досліджень медіакультури у професійних та академічних спільнотах;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ind w:firstLine="540"/>
              <w:jc w:val="both"/>
              <w:rPr/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вміти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за заданими параметрами аналізувати висвітлення культури в суспільно-політичних медіях, у спеціальних ЗМК;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орієнтуватися у творчості мережевих фан-спільнот як частині цифрової медіакультури;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виявляти тематичні ніші у висвітлення цифрової культури та запропонувати власний проект з теми.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ind w:right="764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ind w:right="764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Ключові слова</w:t>
            </w:r>
          </w:p>
        </w:tc>
        <w:tc>
          <w:tcPr/>
          <w:p w:rsidR="00000000" w:rsidDel="00000000" w:rsidP="00000000" w:rsidRDefault="00000000" w:rsidRPr="00000000" w14:paraId="00000071">
            <w:pPr>
              <w:ind w:right="764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Медіакультура, цифрова медіакультура, культурні медіа практики, медіареальність, мережеві культурні спільноти, культурний soft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ind w:right="764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Формат курсу</w:t>
            </w:r>
          </w:p>
        </w:tc>
        <w:tc>
          <w:tcPr/>
          <w:p w:rsidR="00000000" w:rsidDel="00000000" w:rsidP="00000000" w:rsidRDefault="00000000" w:rsidRPr="00000000" w14:paraId="00000073">
            <w:pPr>
              <w:ind w:right="764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Очний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ind w:right="764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ind w:right="764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Проведення лекцій, семінарських робіт та консультації для кращого розуміння тем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76">
            <w:pPr>
              <w:ind w:right="764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Теми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6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  СХЕМІ КУРСУ**</w:t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ind w:right="764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Підсумковий контроль, форма</w:t>
            </w:r>
          </w:p>
        </w:tc>
        <w:tc>
          <w:tcPr/>
          <w:p w:rsidR="00000000" w:rsidDel="00000000" w:rsidP="00000000" w:rsidRDefault="00000000" w:rsidRPr="00000000" w14:paraId="00000079">
            <w:pPr>
              <w:ind w:right="764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Іспит в кінці семестру – комбінований. Оцінка складається з балів, набраних за модулі, плюс бали за виконання індивідуального проекту. Усі  завдання повинні бути подані у письмовій формі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ind w:right="764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Пререквізити</w:t>
            </w:r>
          </w:p>
        </w:tc>
        <w:tc>
          <w:tcPr/>
          <w:p w:rsidR="00000000" w:rsidDel="00000000" w:rsidP="00000000" w:rsidRDefault="00000000" w:rsidRPr="00000000" w14:paraId="0000007B">
            <w:pPr>
              <w:ind w:right="764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Для вивчення курсу студенти потребують базових знань з </w:t>
            </w:r>
            <w:r w:rsidDel="00000000" w:rsidR="00000000" w:rsidRPr="00000000">
              <w:rPr>
                <w:rtl w:val="0"/>
              </w:rPr>
              <w:t xml:space="preserve">основ історії культури, культури, філософії, вступу до журналістики, теорії та історії соціальних комунікацій.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ind w:right="764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Навчальні методи та техніки, які будуть використовуватися під час викладання курсу</w:t>
            </w:r>
          </w:p>
        </w:tc>
        <w:tc>
          <w:tcPr/>
          <w:p w:rsidR="00000000" w:rsidDel="00000000" w:rsidP="00000000" w:rsidRDefault="00000000" w:rsidRPr="00000000" w14:paraId="0000007D">
            <w:pPr>
              <w:ind w:right="764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Презентації, лекції, групові та індивідуальні проекти, семінари, дискусії, есеї.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ind w:right="764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ind w:right="764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ind w:right="764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Необхідне обладнання</w:t>
            </w:r>
          </w:p>
        </w:tc>
        <w:tc>
          <w:tcPr/>
          <w:p w:rsidR="00000000" w:rsidDel="00000000" w:rsidP="00000000" w:rsidRDefault="00000000" w:rsidRPr="00000000" w14:paraId="00000081">
            <w:pPr>
              <w:ind w:right="764"/>
              <w:rPr>
                <w:color w:val="00000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Вивчення курсу не потребуватиме використання програмного забезпечення, крім загальновживаних програм і операційних систем.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ind w:right="764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Критерії оцінювання (окремо для кожного виду навчальної діяльності)</w:t>
            </w:r>
          </w:p>
        </w:tc>
        <w:tc>
          <w:tcPr/>
          <w:p w:rsidR="00000000" w:rsidDel="00000000" w:rsidP="00000000" w:rsidRDefault="00000000" w:rsidRPr="00000000" w14:paraId="00000083">
            <w:pPr>
              <w:ind w:right="764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Оцінювання проводиться за 100-бальною шкалою.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ind w:right="764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Бали нараховуються за наступнимспівідношенням: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ind w:right="764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•практичне/самостійне опанування основної літератури, її письмовий огляд та презентація на заняттях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ind w:right="764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тощо : 25% семестровоїоцінки;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ind w:right="764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максимальна кількість балів_25 б____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ind w:right="764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• Робота з додатковими заруб джерелами та їх презентація: 25% семестрової оцінки; максимальна кількість балів__25 б____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ind w:right="764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• Індивідуальний проект-40 %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ind w:right="764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Максимальна кількість балів__40__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ind w:right="764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Участь у дискусіях та семінарах-10б.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ind w:right="764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Підсумкова максимальна кількість балів____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100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ind w:right="764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ind w:right="764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Письмові роботи: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Очікується, що студенти виконають декілька видів письмових робіт (есе, огляд літератури, укладання та аналіз  кейсу).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Академічна доброчесність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ind w:right="764"/>
              <w:rPr>
                <w:color w:val="00000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Відвідання занять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є важливою складовою навчання. Очікується, що всі студенти відвідають усі лекції і практичні заняття курсу. Студенти мають інформувати викладача про неможливість відвідати заняття. Студенти зобов’язані дотримуватися усіх строків, визначених для виконання усіх видів письмових робіт, передбачених курсом.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Література.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додаткової літератури та джерел, яких нема серед рекомендованих.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ind w:right="764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hd w:fill="ffffff" w:val="clear"/>
              <w:ind w:right="764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Політика виставлення балів.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Враховуються бали, набрані за виконання індивідуальних завдань/проектів, самостійну роботу та роботу з додатковими джерелами, отримані на семінарських завданнях. При цьому обов’язково враховуються присутність на заняттях та активність студента під час практичного заняття; недопустимий плагіат; несвоєчасне виконання поставленого завдання і т. ін.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hd w:fill="ffffff" w:val="clear"/>
              <w:ind w:right="764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hd w:fill="ffffff" w:val="clear"/>
              <w:ind w:right="764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Порушення академічної доброчесності не толеруються.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ind w:right="764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ind w:right="764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Питання до заліку чи екзамену.</w:t>
            </w:r>
          </w:p>
        </w:tc>
        <w:tc>
          <w:tcPr/>
          <w:p w:rsidR="00000000" w:rsidDel="00000000" w:rsidP="00000000" w:rsidRDefault="00000000" w:rsidRPr="00000000" w14:paraId="00000096">
            <w:pPr>
              <w:ind w:right="764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ind w:right="764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Опитування</w:t>
            </w:r>
          </w:p>
        </w:tc>
        <w:tc>
          <w:tcPr/>
          <w:p w:rsidR="00000000" w:rsidDel="00000000" w:rsidP="00000000" w:rsidRDefault="00000000" w:rsidRPr="00000000" w14:paraId="00000098">
            <w:pPr>
              <w:ind w:right="764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Анкету-оцінку з метою оцінювання якості курсу буде надано після завершення курсу.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ind w:right="764"/>
        <w:rPr>
          <w:rFonts w:ascii="Garamond" w:cs="Garamond" w:eastAsia="Garamond" w:hAnsi="Garamo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right="76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color w:val="000000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72227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 w:val="1"/>
    <w:rsid w:val="00872227"/>
    <w:pPr>
      <w:keepNext w:val="1"/>
      <w:keepLines w:val="1"/>
      <w:spacing w:before="480"/>
      <w:outlineLvl w:val="0"/>
    </w:pPr>
    <w:rPr>
      <w:rFonts w:ascii="Cambria" w:hAnsi="Cambria"/>
      <w:b w:val="1"/>
      <w:bCs w:val="1"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 w:val="1"/>
    <w:rsid w:val="00872227"/>
    <w:pPr>
      <w:spacing w:after="100" w:afterAutospacing="1" w:before="100" w:beforeAutospacing="1"/>
      <w:outlineLvl w:val="2"/>
    </w:pPr>
    <w:rPr>
      <w:b w:val="1"/>
      <w:bCs w:val="1"/>
      <w:color w:val="auto"/>
      <w:sz w:val="27"/>
      <w:szCs w:val="27"/>
      <w:lang w:eastAsia="uk-UA" w:val="uk-U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9"/>
    <w:rsid w:val="00872227"/>
    <w:rPr>
      <w:rFonts w:ascii="Cambria" w:cs="Times New Roman" w:eastAsia="Times New Roman" w:hAnsi="Cambria"/>
      <w:b w:val="1"/>
      <w:bCs w:val="1"/>
      <w:color w:val="365f91"/>
      <w:sz w:val="28"/>
      <w:szCs w:val="28"/>
      <w:lang w:val="en-US"/>
    </w:rPr>
  </w:style>
  <w:style w:type="character" w:styleId="30" w:customStyle="1">
    <w:name w:val="Заголовок 3 Знак"/>
    <w:basedOn w:val="a0"/>
    <w:link w:val="3"/>
    <w:uiPriority w:val="99"/>
    <w:rsid w:val="00872227"/>
    <w:rPr>
      <w:rFonts w:ascii="Times New Roman" w:cs="Times New Roman" w:eastAsia="Times New Roman" w:hAnsi="Times New Roman"/>
      <w:b w:val="1"/>
      <w:bCs w:val="1"/>
      <w:sz w:val="27"/>
      <w:szCs w:val="27"/>
      <w:lang w:eastAsia="uk-UA"/>
    </w:rPr>
  </w:style>
  <w:style w:type="paragraph" w:styleId="a3">
    <w:name w:val="List Paragraph"/>
    <w:basedOn w:val="a"/>
    <w:uiPriority w:val="99"/>
    <w:qFormat w:val="1"/>
    <w:rsid w:val="00872227"/>
    <w:pPr>
      <w:spacing w:after="200" w:line="276" w:lineRule="auto"/>
      <w:ind w:left="720"/>
      <w:contextualSpacing w:val="1"/>
    </w:pPr>
    <w:rPr>
      <w:rFonts w:ascii="Calibri" w:cs="Calibri" w:eastAsia="Calibri" w:hAnsi="Calibri"/>
      <w:sz w:val="22"/>
      <w:szCs w:val="22"/>
      <w:lang w:val="tr-TR"/>
    </w:rPr>
  </w:style>
  <w:style w:type="character" w:styleId="a4">
    <w:name w:val="Hyperlink"/>
    <w:basedOn w:val="a0"/>
    <w:uiPriority w:val="99"/>
    <w:semiHidden w:val="1"/>
    <w:rsid w:val="00872227"/>
    <w:rPr>
      <w:rFonts w:cs="Times New Roman"/>
      <w:color w:val="0000ff"/>
      <w:u w:val="single"/>
    </w:rPr>
  </w:style>
  <w:style w:type="character" w:styleId="url" w:customStyle="1">
    <w:name w:val="url"/>
    <w:basedOn w:val="a0"/>
    <w:uiPriority w:val="99"/>
    <w:rsid w:val="00872227"/>
    <w:rPr>
      <w:rFonts w:cs="Times New Roman"/>
    </w:rPr>
  </w:style>
  <w:style w:type="paragraph" w:styleId="WW-BodyText2" w:customStyle="1">
    <w:name w:val="WW-Body Text 2"/>
    <w:basedOn w:val="a"/>
    <w:rsid w:val="009E6102"/>
    <w:pPr>
      <w:spacing w:line="360" w:lineRule="auto"/>
      <w:ind w:firstLine="720"/>
      <w:jc w:val="both"/>
    </w:pPr>
    <w:rPr>
      <w:color w:val="auto"/>
      <w:sz w:val="28"/>
      <w:lang w:eastAsia="ar-SA" w:val="ru-RU"/>
    </w:rPr>
  </w:style>
  <w:style w:type="character" w:styleId="WW8Num1z2" w:customStyle="1">
    <w:name w:val="WW8Num1z2"/>
    <w:rsid w:val="009E6102"/>
    <w:rPr>
      <w:rFonts w:ascii="Wingdings" w:hAnsi="Wingding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NZTNPUm_2014_3_3" TargetMode="External"/><Relationship Id="rId9" Type="http://schemas.openxmlformats.org/officeDocument/2006/relationships/hyperlink" Target="https://web.archive.org/web/20180425062856/http:/cultlook.org/lm_cultural_softwar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journ.lnu.edu.ua/employee/habor-n-b" TargetMode="External"/><Relationship Id="rId8" Type="http://schemas.openxmlformats.org/officeDocument/2006/relationships/hyperlink" Target="http://prima.franko.lviv.ua/faculty/jur/vypusk7/n13/tv13-10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d3ECYzfmnEC/VmoD6aZIHWN98w==">AMUW2mURTFITX7HlrdzSO/5oB2M20FEIwaUYPWg+6nsHCijAvoMCzb8DAypzOtVOpvW5/+oAqBtFOEfv4o4ov7UFtzyguBt58eVzcqll8MAGk8zIesfAiL3MLMTnoInV9TE/FxD148H7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2020-11-02T20:06:00Z</dcterms:created>
  <dc:creator>Toshiba</dc:creator>
</cp:coreProperties>
</file>