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МІНІСТЕРСТВО ОСВІТИ І НАУКИ УКРАЇНИ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Львівський національний університет імені Івана Франка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Факультет __ЖУРНАЛІСТИКИ__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Кафедра___НОВИХ МЕДІЙ___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Затверджено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засіданні кафедри _Нових медій_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факультету ____Журналістики___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Львівського національного університету імені Івана Франка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Cousine" w:cs="Cousine" w:eastAsia="Cousine" w:hAnsi="Cousine"/>
              <w:b w:val="1"/>
              <w:sz w:val="28"/>
              <w:szCs w:val="28"/>
              <w:rtl w:val="0"/>
            </w:rPr>
            <w:t xml:space="preserve">(протокол № 1 від 31 серпня 2020 р.)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Завідувач кафедри _________________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доц. Габор Н.Б.</w:t>
      </w: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Силабус з навчальної дисципліни «МЕДІАКУЛЬТУРА»,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викладається в межах ОПП (ОПН) _"ЖУРНАЛІСТИКА" _ </w:t>
      </w: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першого магістерського рівня вищої освіти для здобувачів з спеціальності 061_ЖУРНАЛІСТИКА_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Львів  2020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72.0" w:type="dxa"/>
        <w:jc w:val="left"/>
        <w:tblInd w:w="0.0" w:type="dxa"/>
        <w:tblLayout w:type="fixed"/>
        <w:tblLook w:val="0000"/>
      </w:tblPr>
      <w:tblGrid>
        <w:gridCol w:w="1709"/>
        <w:gridCol w:w="9463"/>
        <w:tblGridChange w:id="0">
          <w:tblGrid>
            <w:gridCol w:w="1709"/>
            <w:gridCol w:w="946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Медіакультура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Адреса викладання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Генерала Чупринки, 49, Львів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Факультет та кафедра, за якою закріплена дисципліна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Факультет журналістики, кафедра нових медій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Галузь знань, шифр та назва спеціальності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Галузь знань – 06 Журналістика, Спеціальність – 061 Журналістика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Викладачі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Павлюк Л.С., кандидат філолог наук, напр. Журналістика, доцент каф-ри нових медій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Контактна інформація викладачів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pavlyukl@yahoo.com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посилання на сторінку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https://journ.lnu.edu.ua/employee/pavlyuk-l-s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Консультації з курсу відбуваються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Консультації в день проведення лекцій чи в інший день (за попередньою домовленістю). Можливі онлайнконсультації через FB/електронну пошту Також можливі онлайн консультації через Skype або подібні ресурси. Для погодження часу онлайн консультацій слід писати на електронну пошту викладача або дзвонити.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Сторінка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https://journ.lnu.edu.ua/employee/pavlyuk-l-s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Інформація про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Курс розроблено таким чином, щоб надати слухачам необхідні знання, обов’язкові для того, щоб створювати якісний контент нових медіа, з дотриманням стандартів об’єктивності, фактологічної обґрунтованості  й збалансованого викладу позицій. Тому в курсі представлено як огляд концепцій неупередженого мовлення й нормативних засад медіакультури, так і процесів та інструментів, які потрібні для розвитку навичок професійного інформування та ведення толерантного й відповідального діалогу на сучасних медійних платформах.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Коротка анотація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Дисципліна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Медіакультура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” є завершальною нормативною дисципліною з спеціальності 061 - Журналістика для освітньої програми підготовки магістра журналістики. яка викладається у другому семестрі в обсязі 2 кредити (за Європейською Кредитно-Трансферною Системою ECTS).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Мета та цілі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Метою вивчення нормативної дисципліни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Медіакультура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” є ознайомлення студентів зі змістом та застосуванням медіастандартів та культурних норм, необхідних для створення новинних та аналітичних матеріалів для нових медіа.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Курс “Медіакультура” ставить завдання розвинути у студентів вміння аналізувати текст і ситуації професійного спілкування з погляду дотримання етичних комунікативних норм та принципів неупередженості у викладі фактів. Дисципліна охоплює теми культури інтерпретацій, зокрема культури критики й дискусії-діалогу. Головним результатом при вивченні курсу є оволодіння методиками оцінки медіакомунікативних явищ і вміння використовувати норми й стандарти у процесі творення текстів та редагування.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Література для вивчення дисципліни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Основна література: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Кліффорд Крістіанс, Марк Факлер, Кеті Бріттен Річардсон, Пеґґі Крешел, Роберт Вудз-молодший. Медіяетика: практичні випадки та моральні міркування. – Львів: Вид-во УКУ, 2014. – 592 с.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Крецу І. Н., Гузун М., Василик Л. Підручник з крос-медіа.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https://issuu.com/victoryshe/docs/crossmedia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Мова ворожнечі та ЗМІ: міжнародні стандарти та підходи. </w:t>
            </w: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https://www.slideshare.net/DonbassFullAccess/ss-113689262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Методологія оцінки професійності та відповідальності онлайн-медіа.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https://imi.org.ua/monitorings/metodolohiia-otsinky-profesiynosti-ta-vidpovidal-nosti-onlayn-media-i28289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Потятиник Б.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Інтернет-журналістика : навч. посіб. – Львів : ПАІС, 2010. – 244 с.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Додаткова література: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Журналіст і (не)безпека. Посібник для журналістів, які працюють в небезпечних умовах. 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https://imi.org.ua/books/zhurnalist-i-ne-bezpeka-posibnyk-dlya-zhurnalistiv-yaki-pratsyuyut-v-nebezpechnyh-umovah-i1913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Журналіст у соціальних мережах. Рекомендації для медіа.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https://imi.org.ua/advices/zhurnalist-u-sotsialnyh-merezhah-rekomendatsiyi-dlya-media-i31209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Медіа як посередник у конфліктах.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https://medialab.online/news/kursconflict/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Міжнародні та національні стандарти свободи слова в Інтернеті.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https://www.ppl.org.ua/bibliotech/posibnik-zmist-vstup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Новий правопис: повний текст та основні зміни.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https://osvitoria.media/experience/novyj-pravopys-povnyj-tekst-ta-osnovni-zminy/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Павлюк Л. Риторика, ідеологія, персвазивна комунікація. – Львів: ПАІС, 2007. – 172 с.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Павлюк Л. Трофеї меметичних воєн: маркери пропагандистських фейків і факти як контрфрейми. Ї, 2019, http://www.ji-magazine.lviv.ua/2019/pavlyuk-trofei-memetychnyh-voen.htm?fbclid=IwAR28n6Dr1lhvsbiiZrjLxzbk0A6M85IYjscbI67V1OcGmy0jOeheehz9wHU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Пригорницька О.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Фейкова інформація в соціальних медіа: виявлення, оцінка, протидія. </w:t>
            </w:r>
            <w:hyperlink r:id="rId1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http://nbuviap.gov.ua/index.php?option=com_content&amp;view=article&amp;id=3493:fejkova-informatsiya-v-sotsialnikh-media-viyavlennya-otsinka-protidiya&amp;catid=81&amp;Itemid=415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Проблеми суспільної безпеки в процесі розвитку соціальних мереж. </w:t>
            </w:r>
            <w:hyperlink r:id="rId1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http://nbuviap.gov.ua/index.php?option=com_content&amp;view=article&amp;id=1745:problemi-suspilnoji-bezpeki-v-protsesi-rozvitku-sotsialnikh-merezh&amp;catid=78&amp;Itemid=412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Рижко, О. М. Плагіат як соціальнокомунікаційне явище : монографія. – Київ : Паливода А. В. [вид.], 2017. – 387 с.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Фейки як інструмент впливу на вибори. </w:t>
            </w:r>
            <w:hyperlink r:id="rId2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https://niss.gov.ua/sites/default/files/2020-01/fake_news_fin_full_clean.pdf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Facebook CEO Zuckerberg speaks at Georgetown University, </w:t>
            </w:r>
            <w:hyperlink r:id="rId2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https://www.youtube.com/watch?v=2MTpd7YOnyU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Kenwright B.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Virtual Reality: Ethical Challenges and Dangers. </w:t>
            </w:r>
            <w:hyperlink r:id="rId2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https://technologyandsociety.org/virtual-reality-ethical-challenges-and-dangers/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O’Regan, C. Hate Speech Online: an (Intractable) Contemporary Challenge? </w:t>
            </w:r>
            <w:hyperlink r:id="rId23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https://academic.oup.com/clp/article/71/1/403/5258889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Тривалість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   год.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годин аудиторних занять. З них 8 годин лекцій, 16 годин лабораторних робіт/практичних занять та __________ годин самостійної роботи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Очікувані результати навчання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Після завершення цього курсу студент буде :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Знати норми, стандарти і коди, покладені в основу медіакомунікації і творення текстів, а також термінологію, необхідну для аналізу нормативної бази нових медіа;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Вміти створювати власний медійний контент, орієнтуючись на засади інформаційно адекватного й соціально відповідального інформування; аналізувати й редагувати тексти, створені працівниками нових медіа, спираючись на припис фактологічності, методологію оцінки експресивно-емоційних суб’єктивних складників комунікації, а також відповідно до канонів мовностилістичної культури.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Ключові слова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Стандарти створення медіаконтенту, культура інтерпретацій, культура критики, факт і аргумент, публічна сфера та її норми, стереотипи, фейки та симулякри, цензура й свобода преси, оцінність та дифамація, риторичні стратегії та мовностилістичні характеристики тексту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Формат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Очний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Проведення лекцій, лабораторних робіт та консультації для кращого розуміння тем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Подано у формі СХЕМИ КУРСУ**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Підсумковий контроль, форма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іспит в кінці семестру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комбінований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Пререквізити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вивчення курсу студенти потребують базових знань з теорії масових комунікацій, журналістикознавства, теорії культури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Навчальні методи та техніки для викладання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Презентації, лекції, групові проєкти, індивідуальне креативно-орієнтоване навчання, дискусія, есеї.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Необхідне обладнання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курсу не потребує використання програмного забезпечення, крім загально вживаних програм і операційних систем.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Критерії оцінювання (окремо для кожного виду навчальної діяльності)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Оцінювання проводиться за 100-бальною шкалою. Бали нараховуються за таким співідношенням: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• практичні/обговорення, диспути тощо: 20% семестрової оцінки; максимальна кількість балів_20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• контрольні заміри (модулі/аналітичні огляди): 30% семестрової оцінки; максимальна кількість балів_30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• іспит/експертна тема: 50% семестрової оцінки. Максимальна кількість балів_50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Підсумкова максимальна кількість балів__100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Підсумковий контроль передбачає такі форми, як 1) аналітичні огляди за результатами самостійної роботи (детальний аналіз публікацій у друкованих і онлайнових медіа, а також аудіовізуальної продукції з погляду відповідності етичним засадам репрезентації вербальних і візуальних іміджів у масовій комунікації (30 б.), та 2) висвітлення теоретичних питань та участь в обговореннях під час практичних занять (20 б.), 3) підсумкова індивідуальна презентація експертної теми з ілюстраціями зразкових втілень відповідних аспектів медіакультури або ж прецедентів порушення етичної норми в масовій комунікації (50 б.) (з переліку питань та завдань для проведення підсумкової оцінки знань).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Письмові роботи: Очікується, що студенти виконають декілька письмових робіт (вирішення кейсу).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Жодні форми порушення академічної доброчесності не толеруються.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Питання до заліку чи екзамену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Регулятивні засади функціювання нових медіа і соціальних мереж. Інформаційні джерела та фактчекінг. 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Нова технологічна культура медіа: вплив на еволюцію змістоформ.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Онлайн-аналітика: відповідність інформації контекстові місця, часу, стилю. 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Фільтри й цензура: новомедійні практики.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Деконструкція фейку: змістові та юридичні аспекти. Об’єктивність і антифейкова настанова в екстремальних, кризових умовах. 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Копірайтерські стандарти та практики нових медіа і соціальних мереж.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Інформаційна війна та її онлайнові формати. Мова ненависті: нормативні джерела та публіцистичні трактування.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Експресія й оцінність в умовах конфлікту та соціально-політичної поляризованості. Право журналіста на оцінку публічної особи: аналіз судових прецедентів захисту.  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Категорія приватності та публічний простір: проблеми взаємодії. 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стереотипів та упереджень в сучасних медіа, їхній аналіз та коригування.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Етико-культурна норма візуальних репрезентацій.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Практика імплементації нових правописних норм у сучасних онлайнових текстах.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Опитування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Анкету-оцінку з метою оцінювання якості курсу буде надано по завершенню курсу.</w:t>
            </w:r>
          </w:p>
        </w:tc>
      </w:tr>
    </w:tbl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918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4"/>
        <w:gridCol w:w="1584"/>
        <w:gridCol w:w="1205"/>
        <w:gridCol w:w="5613"/>
        <w:gridCol w:w="1445"/>
        <w:gridCol w:w="1438"/>
        <w:tblGridChange w:id="0">
          <w:tblGrid>
            <w:gridCol w:w="634"/>
            <w:gridCol w:w="1584"/>
            <w:gridCol w:w="1205"/>
            <w:gridCol w:w="5613"/>
            <w:gridCol w:w="1445"/>
            <w:gridCol w:w="1438"/>
          </w:tblGrid>
        </w:tblGridChange>
      </w:tblGrid>
      <w:t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Тиж. / дата / год.-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Тема, план, короткі тези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Форма діяльності (заняття)* *лекція, самостійна, дискусія, групова робота)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Література.*** Ресурси в інтернеті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Завдання, год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Термін виконання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66" w:hRule="atLeast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Ресурсні та нормативні характеристики медіакультури. Творення й рецепція онлайнового тексту:  інтерпретації та  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інтерактивність.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Джерела й сенси   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оцінок сучасного контенту.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лекція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Кліффорд Крістіанс, Факлер, М., Кеті Бріттен Річардсон, Пеґґі Крешел, Роберт Вудз-молодший. Медіяетика: практичні випадки та моральні міркування. – Львів: Вид-во УКУ, 2014. – 592 с.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Потятиник Б.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Інтернет-журналістика : навч. посіб. – Львів : ПАІС, 2010. – 244 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Культурна ґенеза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етичних 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технологічних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стандартів.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Проблематизація загроз у розвитку комунікаційних технологій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1-2 тиждень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3" w:hRule="atLeast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Нормативна база сучасних медій: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міжнародний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та національний вимір.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Кооперативна й конфронтативна комунікація: інтерпретаційна етика.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Засади репрезентації вербальних і візуальних іміджів у нових медіа. Соціальні можливості й цивілізаційні виклики віртуальної реальності.  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заняття, самостійна, дискусія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Міжнародні та національні стандарти свободи слова в Інтернеті.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https://www.ppl.org.ua/bibliotech/posibnik-zmist-vstup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Медіа як посередник у конфліктах. </w:t>
            </w:r>
            <w:hyperlink r:id="rId25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https://medialab.online/news/kursconflict/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Журналіст у соціальних мережах. Рекомендації для медіа. </w:t>
            </w:r>
            <w:hyperlink r:id="rId26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https://imi.org.ua/advices/zhurnalist-u-sotsialnyh-merezhah-rekomendatsiyi-dlya-media-i31209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Facebook CEO Zuckerberg speaks at Georgetown University, </w:t>
            </w:r>
            <w:hyperlink r:id="rId27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https://www.youtube.com/watch?v=2MTpd7YOnyU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Kenwright B.  Virtual Reality: Ethical Challenges and Dangers. </w:t>
            </w:r>
            <w:hyperlink r:id="rId28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https://technologyandsociety.org/virtual-reality-ethical-challenges-and-dangers/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Соціально-етичні й технологічні коди медіакультури. Раціонально-змістові  та символічні складники онлайнового тексту.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Конфлікт і медіа довкілля.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 компонентів мультимедійного тексту: межі суб’єктивного.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Віртуальне медіарозширення свідомості: потенціал, симптоми, проблема безпеки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1-2 тиждень 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2-ий тиждень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5" w:hRule="atLeast"/>
        </w:trPr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Стандарт об’єктивності в репрезентації факту. Текстові маркери фактологічності й фіктивності інформації.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Аналітична аргументативна культура.   Симулякри в         онлайн-аналітиці.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лекція, самостійна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Павлюк Л. Знак, символ, міф у масовій комунікації. – Львів: ПАІС, 2006. – 124 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Методологія оцінки професійності та відповідальності онлайн-медіа.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hyperlink r:id="rId29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https://imi.org.ua/monitorings/metodolohiia-otsinky-profesiynosti-ta-vidpovidal-nosti-onlayn-media-i28289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Фактографічні аспекти експертної оцінки професійних стандартів медіа.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Тлумачення емпіричного факту і об’єкта-тексту в медійній аналітиці.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Норми й вади аргументації в дискурсі нових медіа.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3-4 тиждень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3-4 тиждень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2. 1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Новинний факт і його “віяло версій” в онлайні. 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Фейк, маніпуляція і культура їхньої критики.  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Культура бекґраунду та обґрунтувань в аналітичному тексті: специфіка онлайнових медіа.  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Павлюк Л. Трофеї меметичних воєн: маркери пропагандистських фейків і факти як контрфрейми. Ї, 2019, http://www.ji-magazine.lviv.ua/2019/pavlyuk-trofei-memetychnyh-voen.htm?fbclid=IwAR28n6Dr1lhvsbiiZrjLxzbk0A6M85IYjscbI67V1OcGmy0jOeheehz9wHU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Крецу І. Н., Гузун М., Василик Л. Підручник з крос-медіа. </w:t>
            </w:r>
            <w:hyperlink r:id="rId30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https://issuu.com/victoryshe/docs/crossmedia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Види фейків та протидія їм у нових медіа.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Відповідність інформації контекстам місця, часу, стилю: взірці й антимоделі.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3-4 тиждень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3.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Культура суб’єктивності.       Оцінка та інтерпретація. 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Природа стереотипізації та види стереотипів у медіа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лекція, самостійна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Павлюк Л. Риторика, ідеологія, персвазивна комунікація. – Львів: ПАІС, 2007. – 172 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Методологія оцінки професійності та відповідальності онлайн-медіа.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hyperlink r:id="rId31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https://imi.org.ua/monitorings/metodolohiia-otsinky-profesiynosti-ta-vidpovidal-nosti-onlayn-media-i28289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Рефреймінг у медіа тексті як показник еволюції соціальних стандартів.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Міжкультурна комунікація та її відтворення в онлайні.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5-6 тиждень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3. 1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3. 2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Структура оцінного судження й лексичні вираження експресії.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Упередження й стереотипи та їхні мовні маркери в медіатексті. Контекст воєнного конфлікту і поняття “мова ворожнечі”: критичні рефлексії.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заняття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Павлюк Л. Риторика, ідеологія, персвазивна комунікація. – Львів: ПАІС, 2007. – 172 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Мова ворожнечі та ЗМІ: міжнародні стандарти та підходи </w:t>
            </w:r>
            <w:hyperlink r:id="rId32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https://www.slideshare.net/DonbassFullAccess/ss-113689262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O’Regan, C. Hate Speech Online: an (Intractable) Contemporary Challenge? </w:t>
            </w:r>
            <w:hyperlink r:id="rId33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https://academic.oup.com/clp/article/71/1/403/5258889</w:t>
              </w:r>
            </w:hyperlink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Методологія аналізу оцінних суджень.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Схема й емоційні маркери стереотипів у медіа й соціальних мережах.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Умови застосовності поняття “мова ворожнечі”.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5-6 тиждень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5-6 тиждень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4. 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Культура інтертекстуальності й використання джерел. 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Інтертекстуальність як запозичення і аналітична переробка тексту-джерела.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лекція, самостійна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Рижко, О. Плагіат як соціальнокомунікаційне явище: монографія / Олена Рижко ; Київ. нац. ун-т ім. Тараса Шевченка. – Київ, 2017. – 387 с.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Поняття інтертекстуальності і його практичні застосування в аналізі медіатексту.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Проблема плагіату, копіпейсту, посилань у сучасних медіа.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7-8 тиждень 7-8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7-8 тиждень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4. 1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4.2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Соціальні чинники й варіативність мовної норми. Мовностилістичні проблеми конвергентних медіа. 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Підсумок. Нові медіа як середовище інтеграції та адаптації норм.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практичне</w:t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заняття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Новий правопис: повний текст та основні зміни.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hyperlink r:id="rId34">
              <w:r w:rsidDel="00000000" w:rsidR="00000000" w:rsidRPr="00000000">
                <w:rPr>
                  <w:rFonts w:ascii="Garamond" w:cs="Garamond" w:eastAsia="Garamond" w:hAnsi="Garamond"/>
                  <w:b w:val="0"/>
                  <w:i w:val="1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https://osvitoria.media/experience/novyj-pravopys-povnyj-tekst-ta-osnovni-zminy/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Спостереження над мовою і стилем тексту в онлайні, стратегії корегування.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Презентація експертної теми, аналіз, напрями висвітлення, рекомендації.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7-8 тиждень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35" w:type="default"/>
      <w:pgSz w:h="15840" w:w="12240" w:orient="portrait"/>
      <w:pgMar w:bottom="1134" w:top="899" w:left="1134" w:right="1134" w:header="72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61"/>
      <w:numFmt w:val="bullet"/>
      <w:lvlText w:val="-"/>
      <w:lvlJc w:val="left"/>
      <w:pPr>
        <w:ind w:left="72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Заголовок1">
    <w:name w:val="Заголовок 1"/>
    <w:basedOn w:val="Обычный"/>
    <w:next w:val="Обычный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cs="Cambria" w:hAnsi="Cambria"/>
      <w:b w:val="1"/>
      <w:bCs w:val="0"/>
      <w:color w:val="000000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Заголовок2">
    <w:name w:val="Заголовок 2"/>
    <w:basedOn w:val="Обычный"/>
    <w:next w:val="Заголовок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1"/>
    </w:pPr>
    <w:rPr>
      <w:b w:val="1"/>
      <w:bCs w:val="0"/>
      <w:color w:val="000000"/>
      <w:w w:val="100"/>
      <w:position w:val="-1"/>
      <w:sz w:val="36"/>
      <w:szCs w:val="36"/>
      <w:effect w:val="none"/>
      <w:vertAlign w:val="baseline"/>
      <w:cs w:val="0"/>
      <w:em w:val="none"/>
      <w:lang w:bidi="ar-SA" w:eastAsia="und" w:val="und"/>
    </w:rPr>
  </w:style>
  <w:style w:type="paragraph" w:styleId="Заголовок3">
    <w:name w:val="Заголовок 3"/>
    <w:basedOn w:val="Обычный"/>
    <w:next w:val="Обычный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Cambria" w:cs="Cambria" w:hAnsi="Cambria"/>
      <w:b w:val="1"/>
      <w:bCs w:val="0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Обычнаятаблица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Нижнийколонтитул">
    <w:name w:val="Нижний колонтитул"/>
    <w:basedOn w:val="Обычный"/>
    <w:next w:val="Нижнийколонтитул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ullets">
    <w:name w:val="Bullets"/>
    <w:basedOn w:val="Обычный"/>
    <w:next w:val="Bullets"/>
    <w:autoRedefine w:val="0"/>
    <w:hidden w:val="0"/>
    <w:qFormat w:val="0"/>
    <w:pPr>
      <w:widowControl w:val="0"/>
      <w:numPr>
        <w:ilvl w:val="0"/>
        <w:numId w:val="1"/>
      </w:numPr>
      <w:tabs>
        <w:tab w:val="left" w:leader="none" w:pos="0"/>
        <w:tab w:val="left" w:leader="none" w:pos="284"/>
      </w:tabs>
      <w:suppressAutoHyphens w:val="1"/>
      <w:spacing w:before="60" w:line="1" w:lineRule="atLeast"/>
      <w:ind w:left="284" w:leftChars="-1" w:rightChars="0" w:hanging="284" w:firstLineChars="-1"/>
      <w:textDirection w:val="btLr"/>
      <w:textAlignment w:val="top"/>
      <w:outlineLvl w:val="0"/>
    </w:pPr>
    <w:rPr>
      <w:color w:val="000000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en-AU"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Calibri" w:eastAsia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tr-TR"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tr-TR" w:val="tr-TR"/>
    </w:rPr>
  </w:style>
  <w:style w:type="paragraph" w:styleId="x_msonormal">
    <w:name w:val="x_msonormal"/>
    <w:basedOn w:val="Обычный"/>
    <w:next w:val="x_msonormal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Номерстраницы">
    <w:name w:val="Номер страницы"/>
    <w:basedOn w:val="Основнойшрифтабзаца"/>
    <w:next w:val="Номерстраницы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Гиперссылка">
    <w:name w:val="Гиперссылк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short_text">
    <w:name w:val="short_text"/>
    <w:basedOn w:val="Основнойшрифтабзаца"/>
    <w:next w:val="short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ps">
    <w:name w:val="hps"/>
    <w:basedOn w:val="Основнойшрифтабзаца"/>
    <w:next w:val="hp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Строгий">
    <w:name w:val="Строгий"/>
    <w:next w:val="Строгий"/>
    <w:autoRedefine w:val="0"/>
    <w:hidden w:val="0"/>
    <w:qFormat w:val="0"/>
    <w:rPr>
      <w:b w:val="1"/>
      <w:bCs w:val="0"/>
      <w:w w:val="100"/>
      <w:position w:val="-1"/>
      <w:effect w:val="none"/>
      <w:vertAlign w:val="baseline"/>
      <w:cs w:val="0"/>
      <w:em w:val="none"/>
      <w:lang/>
    </w:rPr>
  </w:style>
  <w:style w:type="character" w:styleId="treb">
    <w:name w:val="treb"/>
    <w:basedOn w:val="Основнойшрифтабзаца"/>
    <w:next w:val="treb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instancename">
    <w:name w:val="instancename"/>
    <w:basedOn w:val="Основнойшрифтабзаца"/>
    <w:next w:val="instancenam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ЗнакЗнак1">
    <w:name w:val="Знак Знак1"/>
    <w:next w:val="ЗнакЗнак1"/>
    <w:autoRedefine w:val="0"/>
    <w:hidden w:val="0"/>
    <w:qFormat w:val="0"/>
    <w:rPr>
      <w:b w:val="1"/>
      <w:bCs w:val="0"/>
      <w:w w:val="100"/>
      <w:position w:val="-1"/>
      <w:sz w:val="36"/>
      <w:szCs w:val="36"/>
      <w:effect w:val="none"/>
      <w:vertAlign w:val="baseline"/>
      <w:cs w:val="0"/>
      <w:em w:val="none"/>
      <w:lang/>
    </w:rPr>
  </w:style>
  <w:style w:type="character" w:styleId="ЗнакЗнак2">
    <w:name w:val="Знак Знак2"/>
    <w:next w:val="ЗнакЗнак2"/>
    <w:autoRedefine w:val="0"/>
    <w:hidden w:val="0"/>
    <w:qFormat w:val="0"/>
    <w:rPr>
      <w:rFonts w:ascii="Cambria" w:cs="Times New Roman" w:eastAsia="Times New Roman" w:hAnsi="Cambria"/>
      <w:b w:val="1"/>
      <w:bCs w:val="0"/>
      <w:w w:val="100"/>
      <w:kern w:val="1"/>
      <w:position w:val="-1"/>
      <w:sz w:val="32"/>
      <w:szCs w:val="32"/>
      <w:effect w:val="none"/>
      <w:vertAlign w:val="baseline"/>
      <w:cs w:val="0"/>
      <w:em w:val="none"/>
      <w:lang w:eastAsia="en-US" w:val="en-US"/>
    </w:rPr>
  </w:style>
  <w:style w:type="character" w:styleId="articlealttitle">
    <w:name w:val="articlealttitle"/>
    <w:basedOn w:val="Основнойшрифтабзаца"/>
    <w:next w:val="articlealttitl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ЗнакЗнак">
    <w:name w:val="Знак Знак"/>
    <w:next w:val="ЗнакЗнак"/>
    <w:autoRedefine w:val="0"/>
    <w:hidden w:val="0"/>
    <w:qFormat w:val="0"/>
    <w:rPr>
      <w:rFonts w:ascii="Cambria" w:cs="Times New Roman" w:eastAsia="Times New Roman" w:hAnsi="Cambria"/>
      <w:b w:val="1"/>
      <w:bCs w:val="0"/>
      <w:w w:val="100"/>
      <w:position w:val="-1"/>
      <w:sz w:val="26"/>
      <w:szCs w:val="26"/>
      <w:effect w:val="none"/>
      <w:vertAlign w:val="baseline"/>
      <w:cs w:val="0"/>
      <w:em w:val="none"/>
      <w:lang w:eastAsia="en-US" w:val="en-US"/>
    </w:rPr>
  </w:style>
  <w:style w:type="character" w:styleId="accesshide">
    <w:name w:val="accesshide"/>
    <w:basedOn w:val="Основнойшрифтабзаца"/>
    <w:next w:val="accesshid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">
    <w:name w:val="st"/>
    <w:basedOn w:val="Основнойшрифтабзаца"/>
    <w:next w:val="s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Выделение">
    <w:name w:val="Выделение"/>
    <w:next w:val="Выделение"/>
    <w:autoRedefine w:val="0"/>
    <w:hidden w:val="0"/>
    <w:qFormat w:val="0"/>
    <w:rPr>
      <w:i w:val="1"/>
      <w:iCs w:val="0"/>
      <w:w w:val="100"/>
      <w:position w:val="-1"/>
      <w:effect w:val="none"/>
      <w:vertAlign w:val="baseline"/>
      <w:cs w:val="0"/>
      <w:em w:val="none"/>
      <w:lang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Segoe UI" w:cs="Segoe UI" w:hAnsi="Segoe UI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eastAsia="en-US" w:val="en-US"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Верхнийколонтитул">
    <w:name w:val="Верхний колонтитул"/>
    <w:basedOn w:val="Обычный"/>
    <w:next w:val="Верхнийколонтитул"/>
    <w:autoRedefine w:val="0"/>
    <w:hidden w:val="0"/>
    <w:qFormat w:val="1"/>
    <w:pPr>
      <w:tabs>
        <w:tab w:val="center" w:leader="none" w:pos="4677"/>
        <w:tab w:val="right" w:leader="none" w:pos="9355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ВерхнийколонтитулЗнак">
    <w:name w:val="Верхний колонтитул Знак"/>
    <w:next w:val="ВерхнийколонтитулЗнак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character" w:styleId="НижнийколонтитулЗнак">
    <w:name w:val="Нижний колонтитул Знак"/>
    <w:next w:val="НижнийколонтитулЗнак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character" w:styleId="Просмотреннаягиперссылка">
    <w:name w:val="Просмотренная гиперссылка"/>
    <w:next w:val="Просмотреннаягиперссылка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niss.gov.ua/sites/default/files/2020-01/fake_news_fin_full_clean.pdf" TargetMode="External"/><Relationship Id="rId22" Type="http://schemas.openxmlformats.org/officeDocument/2006/relationships/hyperlink" Target="https://technologyandsociety.org/virtual-reality-ethical-challenges-and-dangers/" TargetMode="External"/><Relationship Id="rId21" Type="http://schemas.openxmlformats.org/officeDocument/2006/relationships/hyperlink" Target="https://www.youtube.com/watch?v=2MTpd7YOnyU" TargetMode="External"/><Relationship Id="rId24" Type="http://schemas.openxmlformats.org/officeDocument/2006/relationships/hyperlink" Target="https://www.ppl.org.ua/bibliotech/posibnik-zmist-vstup" TargetMode="External"/><Relationship Id="rId23" Type="http://schemas.openxmlformats.org/officeDocument/2006/relationships/hyperlink" Target="https://academic.oup.com/clp/article/71/1/403/525888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journ.lnu.edu.ua/employee/pavlyuk-l-s" TargetMode="External"/><Relationship Id="rId26" Type="http://schemas.openxmlformats.org/officeDocument/2006/relationships/hyperlink" Target="https://imi.org.ua/advices/zhurnalist-u-sotsialnyh-merezhah-rekomendatsiyi-dlya-media-i31209" TargetMode="External"/><Relationship Id="rId25" Type="http://schemas.openxmlformats.org/officeDocument/2006/relationships/hyperlink" Target="https://medialab.online/news/kursconflict/" TargetMode="External"/><Relationship Id="rId28" Type="http://schemas.openxmlformats.org/officeDocument/2006/relationships/hyperlink" Target="https://technologyandsociety.org/virtual-reality-ethical-challenges-and-dangers/" TargetMode="External"/><Relationship Id="rId27" Type="http://schemas.openxmlformats.org/officeDocument/2006/relationships/hyperlink" Target="https://www.youtube.com/watch?v=2MTpd7YOny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imi.org.ua/monitorings/metodolohiia-otsinky-profesiynosti-ta-vidpovidal-nosti-onlayn-media-i28289" TargetMode="External"/><Relationship Id="rId7" Type="http://schemas.openxmlformats.org/officeDocument/2006/relationships/hyperlink" Target="mailto:pavlyukl@yahoo.com" TargetMode="External"/><Relationship Id="rId8" Type="http://schemas.openxmlformats.org/officeDocument/2006/relationships/hyperlink" Target="https://journ.lnu.edu.ua/employee/pavlyuk-l-s" TargetMode="External"/><Relationship Id="rId31" Type="http://schemas.openxmlformats.org/officeDocument/2006/relationships/hyperlink" Target="https://imi.org.ua/monitorings/metodolohiia-otsinky-profesiynosti-ta-vidpovidal-nosti-onlayn-media-i28289" TargetMode="External"/><Relationship Id="rId30" Type="http://schemas.openxmlformats.org/officeDocument/2006/relationships/hyperlink" Target="https://issuu.com/victoryshe/docs/crossmedia" TargetMode="External"/><Relationship Id="rId11" Type="http://schemas.openxmlformats.org/officeDocument/2006/relationships/hyperlink" Target="https://www.slideshare.net/DonbassFullAccess/ss-113689262" TargetMode="External"/><Relationship Id="rId33" Type="http://schemas.openxmlformats.org/officeDocument/2006/relationships/hyperlink" Target="https://academic.oup.com/clp/article/71/1/403/5258889" TargetMode="External"/><Relationship Id="rId10" Type="http://schemas.openxmlformats.org/officeDocument/2006/relationships/hyperlink" Target="https://issuu.com/victoryshe/docs/crossmedia" TargetMode="External"/><Relationship Id="rId32" Type="http://schemas.openxmlformats.org/officeDocument/2006/relationships/hyperlink" Target="https://www.slideshare.net/DonbassFullAccess/ss-113689262" TargetMode="External"/><Relationship Id="rId13" Type="http://schemas.openxmlformats.org/officeDocument/2006/relationships/hyperlink" Target="https://imi.org.ua/books/zhurnalist-i-ne-bezpeka-posibnyk-dlya-zhurnalistiv-yaki-pratsyuyut-v-nebezpechnyh-umovah-i1913" TargetMode="External"/><Relationship Id="rId35" Type="http://schemas.openxmlformats.org/officeDocument/2006/relationships/footer" Target="footer1.xml"/><Relationship Id="rId12" Type="http://schemas.openxmlformats.org/officeDocument/2006/relationships/hyperlink" Target="https://imi.org.ua/monitorings/metodolohiia-otsinky-profesiynosti-ta-vidpovidal-nosti-onlayn-media-i28289" TargetMode="External"/><Relationship Id="rId34" Type="http://schemas.openxmlformats.org/officeDocument/2006/relationships/hyperlink" Target="https://osvitoria.media/experience/novyj-pravopys-povnyj-tekst-ta-osnovni-zminy/" TargetMode="External"/><Relationship Id="rId15" Type="http://schemas.openxmlformats.org/officeDocument/2006/relationships/hyperlink" Target="https://medialab.online/news/kursconflict/" TargetMode="External"/><Relationship Id="rId14" Type="http://schemas.openxmlformats.org/officeDocument/2006/relationships/hyperlink" Target="https://imi.org.ua/advices/zhurnalist-u-sotsialnyh-merezhah-rekomendatsiyi-dlya-media-i31209" TargetMode="External"/><Relationship Id="rId17" Type="http://schemas.openxmlformats.org/officeDocument/2006/relationships/hyperlink" Target="https://osvitoria.media/experience/novyj-pravopys-povnyj-tekst-ta-osnovni-zminy/" TargetMode="External"/><Relationship Id="rId16" Type="http://schemas.openxmlformats.org/officeDocument/2006/relationships/hyperlink" Target="https://www.ppl.org.ua/bibliotech/posibnik-zmist-vstup" TargetMode="External"/><Relationship Id="rId19" Type="http://schemas.openxmlformats.org/officeDocument/2006/relationships/hyperlink" Target="http://nbuviap.gov.ua/index.php?option=com_content&amp;view=article&amp;id=1745:problemi-suspilnoji-bezpeki-v-protsesi-rozvitku-sotsialnikh-merezh&amp;catid=78&amp;Itemid=412" TargetMode="External"/><Relationship Id="rId18" Type="http://schemas.openxmlformats.org/officeDocument/2006/relationships/hyperlink" Target="http://nbuviap.gov.ua/index.php?option=com_content&amp;view=article&amp;id=3493:fejkova-informatsiya-v-sotsialnikh-media-viyavlennya-otsinka-protidiya&amp;catid=81&amp;Itemid=41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v2Q6kiu2GLeCzoZ5C9W5/jS5rg==">AMUW2mVy4FfXO8hnuIyLz25zTXRkMf8jq+6BT/AyexxVRPTscL84xNyOunk+0ZxBtBXNyrTWDh/5KgVfcNgGRBRhrZukyqKjYjw4pazZZjZFtBlYNsiNT43TQaNiEWwMC6gEd0/JsdY8QdcdvP6xqsb2etO2j3gcjw==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2020-05-22T07:50:00Z</dcterms:created>
  <dc:creator>def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