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Львівський національний університет імені Івана Франка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Факультет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зарубіжної преси та інформації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Затверджено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засіданні кафедри зарубіжної преси та інформації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факультету журналістики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Львівського національного університету імені Івана Франка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(протокол № 15 від 22.06.2023 р.)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Завідувач кафедри –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наук із соціальних комунікацій,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професор М. Г. ЖИТАРЮК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808802" cy="563166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8802" cy="5631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Силабус з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«СВІТОВІ ІНФОРМАЦІЙНІ АГЕНТСТВА»,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що викладається в межах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ОСВІТНЬО-ПРОФЕСІЙНОЇ ПРОГРАМИ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«МІЖНАРОДНА ЖУРНАЛІСТИКА»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другого (магістерського) рівня вищої освіти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здобувачів зі спеціальності 061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журналістика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Львів – 2023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Layout w:type="fixed"/>
        <w:tblLook w:val="0000"/>
      </w:tblPr>
      <w:tblGrid>
        <w:gridCol w:w="2127"/>
        <w:gridCol w:w="8221"/>
        <w:tblGridChange w:id="0">
          <w:tblGrid>
            <w:gridCol w:w="2127"/>
            <w:gridCol w:w="8221"/>
          </w:tblGrid>
        </w:tblGridChange>
      </w:tblGrid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«Світові інформаційні агентства»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Адреса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Вул. Генерала Чупринки, 49, Львів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Факультет та кафедра, за якою закріплена дисципліна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Факультет журналістики, кафедра зарубіжної преси та інформації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Галузь знань, шифр та назва спеціальності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Галузь знань – 06 Журналістика,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Спеціальність – 061 Журналістика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Викладач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Житарюк Мар’ян Георгійович, доктор наук із соціальних комунікацій, професор, професор кафедри зарубіжної преси та інформації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Контактна інформація викладачів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maryan.zhytaryuk@lnu.edu.ua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http://journ.lnu.edu.ua/employee/zhytaryuk-m-h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https://orcid.org/0000-0002-5690-5701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Львів, вул. Генерала Чупринки, 49, каб. 304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Консультації з курсу відбуваються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Вівторок, 12.00-14.00 год, (вул. Генерала Чупринки, 49, ауд. 402), а також у день проведення лекцій/практичних занять, за попередньою домовленістю зі студентами. Можливі й онлайн консультації через Skype, Вайбер, Меседжер, Телеграм або подібні ресурси. Для погодження часу онлайн консультацій слід писати на електронну пошту викладача, у приват соціальних мереж або телефонувати.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https://journ.lnu.edu.ua/wp-content/uploads/2023/09/sylabus-svitovi-informagentstva.pdf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Інформація про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Дисципліна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«Світові інформаційні агентства»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є вибірковою дисципліною зі спеціальності 061 – журналістика для освітньої програми «Міжнародна журналістика», яка викладається 3 семестрі в обсязі 3 кредитів (за Європейською Кредитно-Трансферною Системою ECTS).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Коротка анотація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Програма з курсу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«Світові інформаційні агентства»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покликана закріпити знання здобувачів з агенційної журналістики. Передбачено низку лекційних і практичних занять про історію виникнення інформаційних агентств у світі, їхній досвід функціонування в сучасних умовах та особливості роботи в умовах дотримання журналістських стандартів та оперативності. Увагу закцентовано на провідних світових агентства з намаганням охоплення за континентами.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Мета та цілі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Мета курсу «Світові інформаційні агентства»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дати здобувачам комплексне уявлення про особливості агенційної журналістики у світі як виду мас-медіа для медіа.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Цілі (завдання) дисципліни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вивчити провідні інформаційні агентства світу за жанровими і тематичними особливостями; опрацювати низку повідомлень на певну тему на різних майданчиках; спробувати запропонувати власний медійний контент для інформаційного агентства.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Література для вивчення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Базова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Paterson C. The International Television News Agencies.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World from London.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London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New Dawn Press,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2017. 183 p.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Shrivastava K. M. News Agencies: From Pigeon to Internet. London : New Dawn Press, 2017. 344 р.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Березенко В.В. Тернова А.І. Інформаційні агенції в Україні та світі: навчальний посібник для здобувачів ступеня вищої освіти бакалавра  спеціальності «Інформаційна, бібліотечна та архівна справа» освітньо-професійної програми «Інформаційно-комунікаційна справа». Запоріжжя : ЗНУ, 2022. 164 с.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Гарматій, Ольга Василівна. Агенційна журналістика [Текст] : навч. посіб. / О. В. Гарматій. – Львів: Cполом, 2015. – 176 с.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https://ena.lpnu.ua:8443/server/api/core/bitstreams/7142e7c7-44b1-44e7-afd3-90fff393f313/content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Каппон Р. Дж. Настанови журналістам Ассошіейтед Пресс : Професійний порадник / Рене Дж. Каппон ; пер. з англ. А. Іщенка // – К. : Вид. дім «КиєвоМогилянська академія», 2005. – 158 с. (Переклад здійснено за виданням: Rene J. Cappon, The Associated Press Guide to News Writing, The Resource for Professional Journalists. Third edition. Copyright © 2000 by The Associated Press All rights reserved. 2005).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Саприкін О. Сучасні інформаційні агентства : підручник. К. : НАКККіМ, 2014. 392 с.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Додаткова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Esther Kezia Thorpe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highlight w:val="white"/>
                <w:u w:val="singl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How Reuters News Agency uses data to build trust in its reporting. 2022. 7 November.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https://voices.media/how-reuters-news-agency-uses-data-to-build-trust-in-its-reporting/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K. M. Shrivastava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News Agencies from Pigeon to Internet.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Sterling Publishers Pvt. Ltd, 2007. 336р.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Michał Niewodowski  Historia agencji prasowych na świecie.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http://bc.upjp2.edu.pl/Content/5545/10_PDFsam_Ca%C5%82o%C5%9B%C4%87%20ze%20znakiem%20wodnym.pdf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Saiful Farik Mat Yatin, Hamizaizurah Abd Hamid, Junaidah Rosliy Khuzaimah Mohd Shah, Zaiton Hassan. Digital Era: New Trends in Information Agencies  Faculty of Information Management, Puncak Perdana Campus, UiTM Selangor, Malaysia. Vol. 7, No. 3, July 2018, Pg. 150-160.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https://hrmars.com/papers_submitted/4355/Digital_Era_New_Trends_in_Information_Agencies.pdf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Біяк О. Діяльність світових інформаційно-аналітичних агентств у міжнародному інформаційному просторі / О. Біяк // Молодий учений. 2016. №12 (39). С. 181-185.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Вдовиченко В. А. Світові інформаційні агенції та друковані медіа. Робоча програма навчальної дисципліни (спеціальність 291 – Міжнародні відносини, суспільні комунікації та регіональні студії). К.: КУ імені Б. Грінченка. 2021. 18 с.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https://fpmv.kubg.edu.ua/images/stories/Departaments/2021/kmvmp_programu/SK/3/InfromAgencii_SK.pdf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Дацків І. Б., Гринчишин А. А. Інформаційно-аналітична діяльність світових інформаційних агентств // Східна Європа: економіка, бізнес та управління. 2016. Випуск 4 (04). С. 25-29.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http://www.easterneurope-ebm.in.ua/journal/4_2016/06.pdf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Добірка літератури з журналістики для журналістів //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https://reutersinstitute.politics.ox.ac.uk/selection-readings-journalism-journalists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Закон України. Про медіа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Із змінами, внесеними згідно із Законом</w:t>
              <w:br w:type="textWrapping"/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№ 2710-IX від 03.11.2022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https://zakon.rada.gov.ua/laws/show/2849-20#n2351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Климнюк Т. “Reuters” – провідне інформаційне агентство світу / Т.А. Климнюк // Науковий вісник Волинського нац. ун-ту ім. Лесі Українки. Луцьк, 2010. № 21. С. 115-118.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Крошка Я., Срібняк І. Інформаційна агенція "Сіньхуа": до історії створення та діяльності / Яна Крошка, Ігор Срібняк // Українська орієнталістика : [збірник наукових праць]. 2013-2014. Вип. 7-8. С. 160-164.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https://ekmair.ukma.edu.ua/server/api/core/bitstreams/5affb01f-1327-4c8d-a346-ce756d9d23d4/content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Нестеряк Ю. В. Агенційна журналістика : курс лекцій. Київ : Інститут журналістики, 2009. 185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Срібняк Ігор. Інформаційна агенція «Рейтер»: виникнення, особливості розвитку, сучасний стан. Літературний процес: методологія, імена, тенденції. 2014. № 3. С. 65-69.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https://litp.kubg.edu.ua/index.php/journal/article/view/236/232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Сучасна агенційна журналістика: Довідник для студентів Інституту, факультетів, відділень та кафедр журналістики / Упор. В. Я. Миронченко. – К.: Інститут журналістики КНУ ім. Тараса Шевченка, 2010. 148 с.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http://surl.li/ijzei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Тернова А. І. Закордонні інформаційні агентства: курс лекцій. Запоріжжя: Copy Art, 2011. 100 с.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Інформаційні ресурси: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bookmarkStart w:colFirst="0" w:colLast="0" w:name="_heading=h.1t3h5sf" w:id="7"/>
            <w:bookmarkEnd w:id="7"/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http://bc.upjp2.edu.pl/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http://www.aniin.com/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http://www.xinhuanet.com/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https://africanmediaagency.com/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https://agenciabrasil.ebc.com.br/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https://www.afp.com/en/news-hub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https://www.ap.org/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4d34og8" w:id="8"/>
            <w:bookmarkEnd w:id="8"/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https://www.britannica.com/topic/Thomson-Reuters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https://www.dpa.com/de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https://www.kyodonews.jp/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https://www.mena.org.eg/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https://www.panapress.com/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https://www.reuters.com/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https://www.upi.com/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Обсяг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 год. аудиторні (8 год. лекційних, 16 год. практичних занять, 66 год. – самостійна робота).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Очікувані результати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Вивчення курсу курс дасть можливість молодим фахівцям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знати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Історію зародження, становлення і сучасний досвід функціонування провідних світових інформаційних агентств;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Специфіку роботи, контентне наповнення та адресатів: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«Reuters»,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«AFP»,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«Die Deutsche Presse-Agentur»,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«ANI»,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«Xinhua News Agency»,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«Kyodo news»,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«The Associated Press»,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United Press International»,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African Media Agency»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,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«PANAPRESS»,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«Mena» (Middle East News Agency»).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процесі навчання слухачі повинні набути певних знань, щоб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знаходити відповідні джерела інформації у стрічках новин інформаційних агентств;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перевіряти інформацію інформагентств;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правильно використовувати інформацію – для посилення ілюстративної та аргументаційної складової власних матеріалів;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виокремлювати форми подачі інформаційних повідомлень відповідно до особливостей і специфіки агенційної журналістики;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пропонувати власний контент за вимогами інформаційних агентств.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Ключові слова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Агенційна журналістика, «інформаційні агентства», «міжнародна інформація», «оперативні новини», «медіа для медіа».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Формат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Очний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Див. СХЕМУ КУРСУ, додану до силабуса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Підсумковий контроль, форма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Залік у кінці семестру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Пререквізити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вивчення курсу студенти потребують базових знань з журналістикознавчих дисциплін на рівні бакалавра журналістики, достатніх для сприйняття категоріального апарату магістра журналістики зі спеціальності 061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Навчальні методи та техніки під час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 навчання: лекція, дискусія, рольова гра, групова робота, метод кейсів. Форми лекцій: лекція-діалог (запитання-відповіді), лекція-візуалізації проблеми (презентація навчального матеріалу на онлайн-платформах). Під час практичних занять було використано елементи проблемно-орієнтованого та проєктно-орієнтованого навчання. Інтерактивні методи навчання: метод «Акваріум» та рольова гра, метод «Мозкової атаки», метод «Сенкан», метод SKAMPER, кейс-метод, застосовано елементи онлайн-навчання (робота з онлайн-дошкою на платформі Padlet, Miro, Jamboard, Mentimetr, Sutori, Flip).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Необхідне обладнання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Комп’ютер, мультимедійний проєктор, доступ до мережі Інтернет, ноутбук, мобільний телефон чи планшет.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Критерії оцінювання (окремо для кожного виду навчальної діяльності)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Оцінювання проводиться за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 контролю: поточний контроль.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Поточний контроль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виконання письмових творчих робіт. (індивідуальних та групових проєктів), усні доповіді, презентації.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Критерії оцінювання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Передбачено, що здобувачі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виконають по два проєкти (індивідуальний та груповий), кожен з яких оцінюється максимально по 15 б. (2*15=30),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виступлять чотири рази з усними доповідями (4*10 б.=40),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підготують підсумкову презентацію у вигляді аналітичного матеріалу (30 б.).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Відповідно до п.2.3 (передостанній абзац) Положення про контроль та  оцінювання навчальних досягнень…. (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https://lnu.edu.ua/wp-content/uploads/2020/03/reg_education-results.pdf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) передбачено, що, за рішенням кафедри, здобувачам вищої освіти можна присуджувати додаткові бали – за участь у позанавчальній науковій діяльності (конференції, наукові публікації, олімпіади, конкурси наукових студентських робіт тощо), в т. ч. за здобуті сертифікати.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Найосновніша вимога  ̶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академічна доброчесність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Роботи студентів повинні бути оригінальними дослідженнями чи міркуваннями. Відсутність посилань на використані джерела, фабрикування джерел, списування, втручання в роботу інших авторів становлять приклади можливої академічної недоброчесності. Виявлення ознак академічної недоброчесності в письмовій роботі є підставою для її незарахуванння викладачем, незалежно від масштабів плагіату чи обману.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Відвідування занять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є важливою складовою навчання. Очікується, що всі студенти відвідають усі аудиторні заняття з курсу. Слухачі повинні інформувати викладача про неможливість відвідати заняття. У будь-якому випадку вони зобов’язані дотримуватися усіх строків, що визначені для виконання усіх видів письмових робіт, передбачених курсом.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Література.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Усю літературу, яку студенти не зможуть знайти самостійно, викладач надає виключно в освітніх цілях без права її передачі третім особам. Частину літератури студенти можуть узяти на сайті кафедри зарубіжної преси та інформації на сторінках викладачів у розділах «Публікації»: </w:t>
            </w: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https://journ.lnu.edu.ua/department/kafedra-zarubizhnoji-presy-ta-informatsiji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Політика виставлення балів.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Враховуються усі бали, набрані упродовж семестру (поточне тестування (контрольна), самостійна робота (доповідь) та бали за роботу на практичних і семінарських заняттях.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заняття, якщо це не пов’язано з навчанням; списування та плагіат; несвоєчасне виконання поставленого завдання і т. ін.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61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Жодні форми порушення академічної доброчесності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толеруються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Контрольні питання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Залік виставляється на підставі поточної успішності.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Водночас здобувачам важливо обміркувати такі питання: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чому відмінність журналіста інформаційного агентства від інших видів мас-медіа?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Чому світові інформагентства працюють 24/7?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Чому світові інформагентства віддають перевагу власним і спеціальним кореспондентам?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Які відомі платформи передачі інформації в сучасних умовах?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Особливості передплати та іншого поширення.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Чому в переліку світових інформаційних агенцій ми не розглядаємо сучасні російські?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Особливості дотримання стандартів професії в інформаційних агентствах.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Які лідери на ринку інформаційних агенцій світу?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Кому можна і кому не можна довіряти на інформаційному ринку? Чому?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Чи поділяєте думку про те, що інформаційні агентства – це медіа для мас-медіа?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Опитування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СХЕМА 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2693"/>
        <w:gridCol w:w="992"/>
        <w:gridCol w:w="2552"/>
        <w:gridCol w:w="2693"/>
        <w:gridCol w:w="851"/>
        <w:tblGridChange w:id="0">
          <w:tblGrid>
            <w:gridCol w:w="851"/>
            <w:gridCol w:w="2693"/>
            <w:gridCol w:w="992"/>
            <w:gridCol w:w="2552"/>
            <w:gridCol w:w="2693"/>
            <w:gridCol w:w="851"/>
          </w:tblGrid>
        </w:tblGridChange>
      </w:tblGrid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Тиж. / дата /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Тема, план, короткі тези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заняття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Література.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Ресурси в інтернеті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Завдання, год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Термін викон.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1-й тижд. 1 год.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1. Вступ до спецкурсу. Особливості зародження та розвитку світових інформаційних агенцій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Лекція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Див. рекомендовану літературу на с. 2-4.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Засвоїти лекційні матеріали, методологічну базу дисципліни, опрацювати рекомендовану літературу.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1-й тижд 2 год.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3-й тижд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Інформаційні агенції Європи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Британське агентство «Reuters»,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французька агенція «AFP»,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німецьке «Die Deutsche Presse-Agentur».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Практ. / семін.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Позиції у списку літератури: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1-4, 6  (базова)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7, 9, 13, 14, 16, 19, 21 (додаткова)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27, 29, 30, 34 (інформаційні ресурси)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Підготувати усний виступ, в якому розкрити такі питання: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Які особливості провідних європейських агентств?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 ці агентства висвітлюють сучасні геополітичні зміни, зокрема, війну за незалежність України проти московських загарбників?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тижні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2-й тижд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год.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4-й тижд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Висвітлення інформаційного простору Азії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Світ очима « ANI» (Індія)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Китайське «Xinhua News Agency»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«Kyodo news» (Японія).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Практ. / семін.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Позиції у списку літератури: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1-4, 6  (базова)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10, 17, 21 (додаткова)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23, 24, 31 (інформаційні ресурси)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Підготувати усний виступ, в якому розкрити такі питання: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Які особливості провідних агентств Азії?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 ці агентства висвітлюють сучасні геополітичні зміни, зокрема, війну за незалежність України проти московських загарбників?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тижні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2-й тижд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год.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5-й тижд. 2 год.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Діяльність інформаційних агентств Північної Америки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«The Associated Press»,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«United Press International»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Практ. / семін.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Позиції у списку літератури: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2, 5  (базова)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18, 21 (додаткова)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28, 35 (інформаційні ресурси)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Підготувати усний виступ, в якому розкрити такі питання: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Які особливості провідних інформаційних агентств Північної Америки?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 ці агентства висвітлюють сучасні геополітичні зміни, зокрема, війну за незалежність України проти московських загарбників?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тижні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2-й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год.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5-6-й тижд.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Інформаційні агентства Африки: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fldChar w:fldCharType="begin"/>
              <w:instrText xml:space="preserve"> HYPERLINK "https://africanmediaagency.com/"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fldChar w:fldCharType="end"/>
            </w: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«African Media Agency», </w:t>
              </w:r>
            </w:hyperlink>
            <w:r w:rsidDel="00000000" w:rsidR="00000000" w:rsidRPr="00000000">
              <w:fldChar w:fldCharType="begin"/>
              <w:instrText xml:space="preserve"> HYPERLINK "https://africanmediaagency.com/"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fldChar w:fldCharType="end"/>
            </w: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«PANAPRESS», </w:t>
              </w:r>
            </w:hyperlink>
            <w:r w:rsidDel="00000000" w:rsidR="00000000" w:rsidRPr="00000000">
              <w:fldChar w:fldCharType="begin"/>
              <w:instrText xml:space="preserve"> HYPERLINK "https://africanmediaagency.com/"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fldChar w:fldCharType="end"/>
            </w: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«Mena» (Middle East News Agency»).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Лекція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Практ. / семін.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Позиції у списку літератури: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1, 2, 3 (базова)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18, 21 (додаткова)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25, 32, 33 (інформаційні ресурси)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Підготувати усний виступ, в якому розкрити такі питання: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Які особливості провідних інформаційних агентств Африки?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 ці агентства висвітлюють сучасні геополітичні зміни, зокрема, війну за незалежність України проти московських загарбників?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тижні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6-й тижд.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год.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7-й тижд.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6. Значення світових інформаційних агентств в формуванні «порядку денного» та зовнішньої політики у країнах з різним політичним режимом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Лекція-диспут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Практ. / семін..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Позиції у списку літератури: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1, 3, 4  (базова)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9, 11, 13, 14, 15 (додаткова)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22, 26 (інформаційні ресурси)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Підготуйте мультимедійний проєкт (презентацію), в якому розкрийте такі питання: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Що таке «порядок денний»?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Як формують «порядок денний світові інформаційні агентства»?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Чи мають вони вплив на геополітичні трансформації у країнах, що розвиваються та з недемократичними режимами? Наведіть приклади.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6-й тижд.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год.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7-8-й тижд.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7. Війна за Незалежність України проти московської тиранії у стрічках новин світових інформаційних агентств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Лекція-диспут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Практ. / семін.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Позиції у списку літератури: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2, 5  (базова)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18, 21 (додаткова)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28, 35 (інформаційні ресурси)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Підготуйте мультимедійний проєкт (презентацію), в якому розкрийте такі питання: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Генеза розуміння і відображення війни в Україні.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Точність і своєчасність повідомлень про Україну.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Принципи нейтралітету або підтримка України та узгодження з усталеними стандартами журналістики.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8-й тижд.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8. Підсумкова презентація власного аналітичного матеріалу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Практ. / семін.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Будь-яка література із запропонованого списку або додаткова, надана викладачем, для виконання завдання з написання аналітичного матеріалу і презентації.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Напишіть аналітичний матеріал на тему: «Інформаційна агенція (обирає студент) та звʼязок з Україною і українськими партнерами щодо важливих подій»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Усього: лекції - 8 год., практичні / семінарські – 16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Самостійна робота – 66 год.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Підготував проф. М. Г. Житарюк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07884" cy="423267"/>
            <wp:effectExtent b="0" l="0" r="0" t="0"/>
            <wp:docPr id="10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7884" cy="4232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46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Звичайний">
    <w:name w:val="Звичайний"/>
    <w:next w:val="Звичайни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Заголовок1">
    <w:name w:val="Заголовок 1"/>
    <w:basedOn w:val="Звичайний"/>
    <w:next w:val="Звичайни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Заголовок2">
    <w:name w:val="Заголовок 2"/>
    <w:basedOn w:val="Звичайний"/>
    <w:next w:val="Звичайний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Заголовок3">
    <w:name w:val="Заголовок 3"/>
    <w:basedOn w:val="Звичайний"/>
    <w:next w:val="Звичайни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color w:val="auto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Звичайний"/>
    <w:next w:val="Звичайни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cs="Times New Roman" w:hAnsi="Times New Roman"/>
      <w:b w:val="1"/>
      <w:bCs w:val="1"/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Звичайний"/>
    <w:next w:val="Звичайний"/>
    <w:autoRedefine w:val="0"/>
    <w:hidden w:val="0"/>
    <w:qFormat w:val="0"/>
    <w:pPr>
      <w:keepNext w:val="1"/>
      <w:suppressAutoHyphens w:val="1"/>
      <w:spacing w:line="280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Times New Roman" w:cs="Times New Roman" w:hAnsi="Times New Roman"/>
      <w:color w:val="auto"/>
      <w:w w:val="100"/>
      <w:position w:val="-1"/>
      <w:sz w:val="26"/>
      <w:szCs w:val="20"/>
      <w:effect w:val="none"/>
      <w:vertAlign w:val="baseline"/>
      <w:cs w:val="0"/>
      <w:em w:val="none"/>
      <w:lang w:bidi="ar-SA" w:eastAsia="ru-RU" w:val="uk-UA"/>
    </w:rPr>
  </w:style>
  <w:style w:type="character" w:styleId="Шрифтабзацузазамовчуванням">
    <w:name w:val="Шрифт абзацу за замовчуванням"/>
    <w:next w:val="Шрифтабзацузазамовчуванням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Звичайнатаблиця">
    <w:name w:val="Звичайна таблиця"/>
    <w:next w:val="Звичайнатаблиц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маєсписку">
    <w:name w:val="Немає списку"/>
    <w:next w:val="Немаєсписку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und" w:val="en-US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ru-RU" w:val="und"/>
    </w:rPr>
  </w:style>
  <w:style w:type="character" w:styleId="Заголовок4Знак">
    <w:name w:val="Заголовок 4 Знак"/>
    <w:next w:val="Заголовок4Знак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ru-RU" w:val="und"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 w:val="uk-UA"/>
    </w:rPr>
  </w:style>
  <w:style w:type="paragraph" w:styleId="Абзацсписку">
    <w:name w:val="Абзац списку"/>
    <w:basedOn w:val="Звичайний"/>
    <w:next w:val="Абзацсписку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tr-TR"/>
    </w:rPr>
  </w:style>
  <w:style w:type="character" w:styleId="Гіперпосилання">
    <w:name w:val="Гіперпосилання"/>
    <w:next w:val="Гіперпосилання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Звичайний(веб)">
    <w:name w:val="Звичайний (веб)"/>
    <w:basedOn w:val="Звичайний"/>
    <w:next w:val="Звичайни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character" w:styleId="Переглянутегіперпосилання">
    <w:name w:val="Переглянуте гіперпосилання"/>
    <w:next w:val="Переглянутегіперпосилання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Indent31">
    <w:name w:val="Body Text Indent 31"/>
    <w:basedOn w:val="Звичайний"/>
    <w:next w:val="BodyTextIndent31"/>
    <w:autoRedefine w:val="0"/>
    <w:hidden w:val="0"/>
    <w:qFormat w:val="0"/>
    <w:pPr>
      <w:suppressAutoHyphens w:val="1"/>
      <w:spacing w:line="1" w:lineRule="atLeast"/>
      <w:ind w:left="720"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uk-UA"/>
    </w:rPr>
  </w:style>
  <w:style w:type="paragraph" w:styleId="Верхнійколонтитул">
    <w:name w:val="Верхній колонтитул"/>
    <w:basedOn w:val="Звичайний"/>
    <w:next w:val="Верхні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280" w:lineRule="atLeast"/>
      <w:ind w:leftChars="-1" w:rightChars="0" w:firstLine="454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2"/>
      <w:szCs w:val="20"/>
      <w:effect w:val="none"/>
      <w:vertAlign w:val="baseline"/>
      <w:cs w:val="0"/>
      <w:em w:val="none"/>
      <w:lang w:bidi="ar-SA" w:eastAsia="ru-RU" w:val="uk-UA"/>
    </w:rPr>
  </w:style>
  <w:style w:type="character" w:styleId="ВерхнійколонтитулЗнак">
    <w:name w:val="Верхній колонтитул Знак"/>
    <w:next w:val="ВерхнійколонтитулЗнак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 w:val="uk-UA"/>
    </w:rPr>
  </w:style>
  <w:style w:type="paragraph" w:styleId="Нижнійколонтитул">
    <w:name w:val="Нижній колонтитул"/>
    <w:basedOn w:val="Звичайний"/>
    <w:next w:val="Нижні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НижнійколонтитулЗнак">
    <w:name w:val="Нижній колонтитул Знак"/>
    <w:next w:val="НижнійколонтитулЗнак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 w:val="und"/>
    </w:rPr>
  </w:style>
  <w:style w:type="paragraph" w:styleId="Список">
    <w:name w:val="Список"/>
    <w:basedOn w:val="Звичайний"/>
    <w:next w:val="Список"/>
    <w:autoRedefine w:val="0"/>
    <w:hidden w:val="0"/>
    <w:qFormat w:val="1"/>
    <w:pPr>
      <w:suppressAutoHyphens w:val="1"/>
      <w:spacing w:after="200" w:line="276" w:lineRule="auto"/>
      <w:ind w:left="283" w:leftChars="-1" w:rightChars="0" w:hanging="283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СтандартнийHTML">
    <w:name w:val="Стандартний HTML"/>
    <w:basedOn w:val="Звичайний"/>
    <w:next w:val="Стандартний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СтандартнийHTMLЗнак">
    <w:name w:val="Стандартний HTML Знак"/>
    <w:next w:val="СтандартнийHTMLЗнак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Абзацсписка1">
    <w:name w:val="Абзац списка1"/>
    <w:basedOn w:val="Звичайний"/>
    <w:next w:val="Абзацсписка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paragraph" w:styleId="Текствиноски">
    <w:name w:val="Текст виноски"/>
    <w:basedOn w:val="Звичайний"/>
    <w:next w:val="Текстви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виноскиЗнак">
    <w:name w:val="Текст виноски Знак"/>
    <w:next w:val="ТекствиноскиЗнак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Знаквиноски">
    <w:name w:val="Знак виноски"/>
    <w:next w:val="Знакви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Тексткінцевоївиноски">
    <w:name w:val="Текст кінцевої виноски"/>
    <w:basedOn w:val="Звичайний"/>
    <w:next w:val="Тексткінцевоїви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кінцевоївиноскиЗнак">
    <w:name w:val="Текст кінцевої виноски Знак"/>
    <w:next w:val="ТексткінцевоївиноскиЗнак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Основнийтекст">
    <w:name w:val="Основний текст"/>
    <w:basedOn w:val="Звичайний"/>
    <w:next w:val="Основни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ийтекстЗнак">
    <w:name w:val="Основний текст Знак"/>
    <w:next w:val="ОсновнийтекстЗнак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Список2">
    <w:name w:val="Список 2"/>
    <w:basedOn w:val="Звичайний"/>
    <w:next w:val="Список2"/>
    <w:autoRedefine w:val="0"/>
    <w:hidden w:val="0"/>
    <w:qFormat w:val="1"/>
    <w:pPr>
      <w:suppressAutoHyphens w:val="1"/>
      <w:spacing w:line="1" w:lineRule="atLeast"/>
      <w:ind w:left="566" w:leftChars="-1" w:rightChars="0" w:hanging="283" w:firstLineChars="-1"/>
      <w:contextualSpacing w:val="1"/>
      <w:textDirection w:val="btLr"/>
      <w:textAlignment w:val="top"/>
      <w:outlineLvl w:val="0"/>
    </w:pPr>
    <w:rPr>
      <w:rFonts w:ascii="Times New Roman" w:cs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Основнийтекстзвідступом">
    <w:name w:val="Основний текст з відступом"/>
    <w:basedOn w:val="Звичайний"/>
    <w:next w:val="Основнийтекстзвідступом"/>
    <w:autoRedefine w:val="0"/>
    <w:hidden w:val="0"/>
    <w:qFormat w:val="1"/>
    <w:pPr>
      <w:suppressAutoHyphens w:val="1"/>
      <w:spacing w:after="120" w:line="276" w:lineRule="auto"/>
      <w:ind w:left="283"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ийтекстзвідступомЗнак">
    <w:name w:val="Основний текст з відступом Знак"/>
    <w:next w:val="Основнийтекстзвідступом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 w:val="en-US"/>
    </w:rPr>
  </w:style>
  <w:style w:type="paragraph" w:styleId="description">
    <w:name w:val="description"/>
    <w:basedOn w:val="Звичайний"/>
    <w:next w:val="description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TableParagraph">
    <w:name w:val="Table Paragraph"/>
    <w:basedOn w:val="Звичайний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Незакритазгадка">
    <w:name w:val="Незакрита згадка"/>
    <w:next w:val="Незакритазгадка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fn">
    <w:name w:val="fn"/>
    <w:basedOn w:val="Шрифтабзацузазамовчуванням"/>
    <w:next w:val="f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0">
    <w:name w:val="A0"/>
    <w:next w:val="A0"/>
    <w:autoRedefine w:val="0"/>
    <w:hidden w:val="0"/>
    <w:qFormat w:val="0"/>
    <w:rPr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comma-list">
    <w:name w:val="comma-list"/>
    <w:next w:val="comma-li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africanmediaagency.com/" TargetMode="External"/><Relationship Id="rId20" Type="http://schemas.openxmlformats.org/officeDocument/2006/relationships/hyperlink" Target="https://reutersinstitute.politics.ox.ac.uk/selection-readings-journalism-journalists" TargetMode="External"/><Relationship Id="rId42" Type="http://schemas.openxmlformats.org/officeDocument/2006/relationships/hyperlink" Target="https://journ.lnu.edu.ua/department/kafedra-zarubizhnoji-presy-ta-informatsiji" TargetMode="External"/><Relationship Id="rId41" Type="http://schemas.openxmlformats.org/officeDocument/2006/relationships/hyperlink" Target="https://lnu.edu.ua/wp-content/uploads/2020/03/reg_education-results.pdf" TargetMode="External"/><Relationship Id="rId22" Type="http://schemas.openxmlformats.org/officeDocument/2006/relationships/hyperlink" Target="https://zakon.rada.gov.ua/laws/show/2849-20#n2351" TargetMode="External"/><Relationship Id="rId44" Type="http://schemas.openxmlformats.org/officeDocument/2006/relationships/hyperlink" Target="https://africanmediaagency.com/" TargetMode="External"/><Relationship Id="rId21" Type="http://schemas.openxmlformats.org/officeDocument/2006/relationships/hyperlink" Target="https://zakon.rada.gov.ua/laws/show/2710-20#n226" TargetMode="External"/><Relationship Id="rId43" Type="http://schemas.openxmlformats.org/officeDocument/2006/relationships/hyperlink" Target="https://africanmediaagency.com/" TargetMode="External"/><Relationship Id="rId24" Type="http://schemas.openxmlformats.org/officeDocument/2006/relationships/hyperlink" Target="https://litp.kubg.edu.ua/index.php/journal/article/view/236/232" TargetMode="External"/><Relationship Id="rId46" Type="http://schemas.openxmlformats.org/officeDocument/2006/relationships/footer" Target="footer1.xml"/><Relationship Id="rId23" Type="http://schemas.openxmlformats.org/officeDocument/2006/relationships/hyperlink" Target="https://ekmair.ukma.edu.ua/server/api/core/bitstreams/5affb01f-1327-4c8d-a346-ce756d9d23d4/content" TargetMode="External"/><Relationship Id="rId45" Type="http://schemas.openxmlformats.org/officeDocument/2006/relationships/hyperlink" Target="https://africanmediaagency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journ.lnu.edu.ua/employee/zhytaryuk-m-h" TargetMode="External"/><Relationship Id="rId26" Type="http://schemas.openxmlformats.org/officeDocument/2006/relationships/hyperlink" Target="http://bc.upjp2.edu.pl/Content/5545/10_PDFsam" TargetMode="External"/><Relationship Id="rId25" Type="http://schemas.openxmlformats.org/officeDocument/2006/relationships/hyperlink" Target="http://surl.li/ijzei" TargetMode="External"/><Relationship Id="rId28" Type="http://schemas.openxmlformats.org/officeDocument/2006/relationships/hyperlink" Target="http://www.xinhuanet.com/" TargetMode="External"/><Relationship Id="rId27" Type="http://schemas.openxmlformats.org/officeDocument/2006/relationships/hyperlink" Target="http://www.aniin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africanmediaagency.com/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maryan.zhytaryuk@lnu.edu.ua" TargetMode="External"/><Relationship Id="rId31" Type="http://schemas.openxmlformats.org/officeDocument/2006/relationships/hyperlink" Target="https://www.afp.com/en/news-hub" TargetMode="External"/><Relationship Id="rId30" Type="http://schemas.openxmlformats.org/officeDocument/2006/relationships/hyperlink" Target="https://agenciabrasil.ebc.com.br/" TargetMode="External"/><Relationship Id="rId11" Type="http://schemas.openxmlformats.org/officeDocument/2006/relationships/hyperlink" Target="https://journ.lnu.edu.ua/wp-content/uploads/2023/09/sylabus-svitovi-informagentstva.pdf" TargetMode="External"/><Relationship Id="rId33" Type="http://schemas.openxmlformats.org/officeDocument/2006/relationships/hyperlink" Target="https://www.britannica.com/topic/Thomson-Reuters" TargetMode="External"/><Relationship Id="rId10" Type="http://schemas.openxmlformats.org/officeDocument/2006/relationships/hyperlink" Target="https://orcid.org/0000-0002-5690-5701" TargetMode="External"/><Relationship Id="rId32" Type="http://schemas.openxmlformats.org/officeDocument/2006/relationships/hyperlink" Target="https://www.ap.org/" TargetMode="External"/><Relationship Id="rId13" Type="http://schemas.openxmlformats.org/officeDocument/2006/relationships/hyperlink" Target="https://voices.media/author/esther/" TargetMode="External"/><Relationship Id="rId35" Type="http://schemas.openxmlformats.org/officeDocument/2006/relationships/hyperlink" Target="https://www.kyodonews.jp/" TargetMode="External"/><Relationship Id="rId12" Type="http://schemas.openxmlformats.org/officeDocument/2006/relationships/hyperlink" Target="https://ena.lpnu.ua:8443/server/api/core/bitstreams/7142e7c7-44b1-44e7-afd3-90fff393f313/content" TargetMode="External"/><Relationship Id="rId34" Type="http://schemas.openxmlformats.org/officeDocument/2006/relationships/hyperlink" Target="https://www.dpa.com/de" TargetMode="External"/><Relationship Id="rId15" Type="http://schemas.openxmlformats.org/officeDocument/2006/relationships/hyperlink" Target="https://www.google.com.ua/search?hl=uk&amp;tbo=p&amp;tbm=bks&amp;q=inauthor:%22K.+M.+Shrivastava%22" TargetMode="External"/><Relationship Id="rId37" Type="http://schemas.openxmlformats.org/officeDocument/2006/relationships/hyperlink" Target="https://www.panapress.com/" TargetMode="External"/><Relationship Id="rId14" Type="http://schemas.openxmlformats.org/officeDocument/2006/relationships/hyperlink" Target="https://voices.media/how-reuters-news-agency-uses-data-to-build-trust-in-its-reporting/" TargetMode="External"/><Relationship Id="rId36" Type="http://schemas.openxmlformats.org/officeDocument/2006/relationships/hyperlink" Target="https://www.mena.org.eg/" TargetMode="External"/><Relationship Id="rId17" Type="http://schemas.openxmlformats.org/officeDocument/2006/relationships/hyperlink" Target="https://hrmars.com/papers_submitted/4355/Digital_Era_New_Trends_in_Information_Agencies.pdf" TargetMode="External"/><Relationship Id="rId39" Type="http://schemas.openxmlformats.org/officeDocument/2006/relationships/hyperlink" Target="https://www.upi.com/" TargetMode="External"/><Relationship Id="rId16" Type="http://schemas.openxmlformats.org/officeDocument/2006/relationships/hyperlink" Target="http://bc.upjp2.edu.pl/Content/5545/10_PDFsam_Ca%C5%82o%C5%9B%C4%87%20ze%20znakiem%20wodnym.pdf" TargetMode="External"/><Relationship Id="rId38" Type="http://schemas.openxmlformats.org/officeDocument/2006/relationships/hyperlink" Target="https://www.reuters.com/" TargetMode="External"/><Relationship Id="rId19" Type="http://schemas.openxmlformats.org/officeDocument/2006/relationships/hyperlink" Target="http://www.easterneurope-ebm.in.ua/journal/4_2016/06.pdf" TargetMode="External"/><Relationship Id="rId18" Type="http://schemas.openxmlformats.org/officeDocument/2006/relationships/hyperlink" Target="https://fpmv.kubg.edu.ua/images/stories/Departaments/2021/kmvmp_programu/SK/3/InfromAgencii_SK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6Wf6uxcAnncchsmRftOLbq/SKA==">CgMxLjAyCGguZ2pkZ3hzMgloLjMwajB6bGwyCWguMWZvYjl0ZTIJaC4zem55c2g3MgppZC4yZXQ5MnAwMglpZC50eWpjd3QyCWguM2R5NnZrbTIJaC4xdDNoNXNmMgloLjRkMzRvZzgyCWguMnM4ZXlvMTIJaC4xN2RwOHZ1OAByITF5NF8zcGs2NDV4d2o2MUV3Y1haVUNVbW9JZHdYS2dRbg==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2023-06-26T11:59:00Z</dcterms:created>
  <dc:creator>RePack by Diakov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GrammarlyDocumentId">
    <vt:lpstr>ea0b0753eb8adf96df6a99cd617d1fd5d8399f78d4df1815821d0fcb35366ef0</vt:lpstr>
  </property>
</Properties>
</file>