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Факультет журналістики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Кафедра зарубіжної преси та інформації</w:t>
      </w:r>
    </w:p>
    <w:p w:rsidR="008642B8" w:rsidRPr="008642B8" w:rsidRDefault="008642B8" w:rsidP="008642B8">
      <w:pPr>
        <w:tabs>
          <w:tab w:val="left" w:pos="72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Затверджено</w:t>
      </w: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засіданні кафедри зарубіжної преси та інформації 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факультету журналістики 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протокол №3 від 05.09.2022 р.</w:t>
      </w: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 кафедри – 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наук із соціальних комунікацій, 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 М. Г. ЖИТАРЮК</w:t>
      </w: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8642B8" w:rsidRPr="008642B8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Силабус з навчальної дисципліни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ІНФОРМАЦІЙНА ВІЙНА І ЖУРНАЛІСТИКА</w:t>
      </w:r>
      <w:r w:rsidRPr="00864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 викладається в межах 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ОСВІТНЬО-ПРОФЕСІЙНОЇ ПРОГРАМИ 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«МІЖНАРОДНА ЖУРНАЛІСТИКА»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(магістерського) рівня вищої освіти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здобувачів зі спеціальності 061 – </w:t>
      </w:r>
      <w:r w:rsidRPr="008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журналістика</w:t>
      </w: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642B8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 – 202</w:t>
      </w:r>
      <w:r w:rsidRPr="00864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8642B8" w:rsidRPr="008642B8" w:rsidRDefault="008642B8" w:rsidP="0086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2B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0" w:name="_Hlk137922914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lastRenderedPageBreak/>
              <w:t>Назва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A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2B8">
              <w:rPr>
                <w:rFonts w:ascii="Times New Roman" w:eastAsia="Times New Roman" w:hAnsi="Times New Roman" w:cs="Times New Roman"/>
                <w:b/>
              </w:rPr>
              <w:t>«</w:t>
            </w:r>
            <w:r w:rsidR="00AC1F06">
              <w:rPr>
                <w:rFonts w:ascii="Times New Roman" w:eastAsia="Times New Roman" w:hAnsi="Times New Roman" w:cs="Times New Roman"/>
                <w:b/>
              </w:rPr>
              <w:t>Інформаційна війна і журналістика</w:t>
            </w:r>
            <w:r w:rsidRPr="008642B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DC5">
              <w:rPr>
                <w:rFonts w:ascii="Times New Roman" w:eastAsia="Times New Roman" w:hAnsi="Times New Roman" w:cs="Times New Roman"/>
                <w:bCs/>
              </w:rPr>
              <w:t>Адреса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>Вул. Генерала Чупринки, 49, Львів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DC5">
              <w:rPr>
                <w:rFonts w:ascii="Times New Roman" w:eastAsia="Times New Roman" w:hAnsi="Times New Roman" w:cs="Times New Roman"/>
                <w:bCs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>Факультет журналістики, кафедра зарубіжної преси та інформації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DC5">
              <w:rPr>
                <w:rFonts w:ascii="Times New Roman" w:eastAsia="Times New Roman" w:hAnsi="Times New Roman" w:cs="Times New Roman"/>
                <w:bCs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 xml:space="preserve">Галузь знань – 06 Журналістика, </w:t>
            </w:r>
          </w:p>
          <w:p w:rsidR="008642B8" w:rsidRPr="00914DC5" w:rsidRDefault="008642B8" w:rsidP="008642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>Спеціальність – 061 Журналістика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14DC5">
              <w:rPr>
                <w:rFonts w:ascii="Times New Roman" w:eastAsia="Times New Roman" w:hAnsi="Times New Roman" w:cs="Times New Roman"/>
                <w:bCs/>
              </w:rPr>
              <w:t>Викладач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Юрій Ігорович,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кандидат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наук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соціальних комунікацій, доцент,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доцент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кафедри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зарубіжної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преси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14DC5">
              <w:rPr>
                <w:rFonts w:ascii="Times New Roman" w:eastAsia="Times New Roman" w:hAnsi="Times New Roman" w:cs="Times New Roman"/>
                <w:bCs/>
              </w:rPr>
              <w:t>Контактна інформація викладача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343E73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iurii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melnyk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@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lnu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edu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ua</w:t>
              </w:r>
              <w:r w:rsidR="008642B8" w:rsidRPr="00914DC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, </w:t>
              </w:r>
            </w:hyperlink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Львів, вул.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-52"/>
                <w:lang w:val="ru-RU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Генерала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Чупринки, 49,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каб. 306</w:t>
            </w: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914DC5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DC5">
              <w:rPr>
                <w:rFonts w:ascii="Times New Roman" w:eastAsia="Times New Roman" w:hAnsi="Times New Roman" w:cs="Times New Roman"/>
                <w:bCs/>
              </w:rPr>
              <w:t>Консультації з курсу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C5" w:rsidRPr="00914DC5" w:rsidRDefault="00914DC5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Консультації відповідно до розкладу консультацій або в день проведення лекцій/практичних занять. Консультації в день проведення лекцій (за попередньою домовленістю) за адресою: вул. Генерала Чупринки, 49, авд. 306.</w:t>
            </w:r>
          </w:p>
          <w:p w:rsidR="008642B8" w:rsidRPr="00914DC5" w:rsidRDefault="00914DC5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</w:rPr>
              <w:t>Також можливі онлайн-консультації (для погодження часу онлайн консультацій слід писати на електронну пошту викладача iurii.melnyk@lnu.edu.ua).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  <w:lang w:val="en-US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343E73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642B8" w:rsidRPr="00AC44DD">
                <w:rPr>
                  <w:rStyle w:val="a4"/>
                  <w:rFonts w:ascii="Times New Roman" w:eastAsia="Times New Roman" w:hAnsi="Times New Roman"/>
                </w:rPr>
                <w:t>https://journ.lnu.edu.ua/wp-content/uploads/2022/09/sylabus-...2022.pdf</w:t>
              </w:r>
            </w:hyperlink>
            <w:r w:rsidR="008642B8" w:rsidRPr="008642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Інформація про курс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Дисципліна </w:t>
            </w:r>
            <w:r w:rsidRPr="008642B8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AC1F06" w:rsidRPr="00AC1F06">
              <w:rPr>
                <w:rFonts w:ascii="Times New Roman" w:eastAsia="Times New Roman" w:hAnsi="Times New Roman" w:cs="Times New Roman"/>
                <w:bCs/>
              </w:rPr>
              <w:t>Інформаційна війна і журналістика</w:t>
            </w:r>
            <w:r w:rsidRPr="008642B8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="00914DC5">
              <w:rPr>
                <w:rFonts w:ascii="Times New Roman" w:eastAsia="Times New Roman" w:hAnsi="Times New Roman" w:cs="Times New Roman"/>
                <w:noProof/>
                <w:color w:val="000000"/>
              </w:rPr>
              <w:t>є</w:t>
            </w:r>
            <w:r w:rsidR="00914DC5" w:rsidRPr="00914DC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="00914DC5">
              <w:rPr>
                <w:rFonts w:ascii="Times New Roman" w:eastAsia="Times New Roman" w:hAnsi="Times New Roman" w:cs="Times New Roman"/>
                <w:noProof/>
                <w:color w:val="000000"/>
              </w:rPr>
              <w:t>нормативною</w:t>
            </w:r>
            <w:r w:rsidRPr="008642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дисципліною зі спеціальності 061 – журналістика для освітньої програми «Міжнародна журналістика», яка викладається у </w:t>
            </w:r>
            <w:r w:rsidR="00AC1F06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  <w:r w:rsidRPr="008642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Коротка анотація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Default="008642B8" w:rsidP="00BB2B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</w:rPr>
              <w:t xml:space="preserve">Курс </w:t>
            </w:r>
            <w:r w:rsidRPr="008642B8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AC1F06" w:rsidRPr="00AC1F06">
              <w:rPr>
                <w:rFonts w:ascii="Times New Roman" w:eastAsia="Times New Roman" w:hAnsi="Times New Roman" w:cs="Times New Roman"/>
                <w:bCs/>
              </w:rPr>
              <w:t>Інформаційна війна і журналістика</w:t>
            </w:r>
            <w:r w:rsidRPr="008642B8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5B084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="00C142C1">
              <w:rPr>
                <w:rFonts w:ascii="Times New Roman" w:eastAsia="Times New Roman" w:hAnsi="Times New Roman" w:cs="Times New Roman"/>
                <w:noProof/>
                <w:color w:val="000000"/>
              </w:rPr>
              <w:t>присвячений</w:t>
            </w:r>
            <w:r w:rsidR="005B084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широкому </w:t>
            </w:r>
            <w:r w:rsidR="00C142C1">
              <w:rPr>
                <w:rFonts w:ascii="Times New Roman" w:eastAsia="Times New Roman" w:hAnsi="Times New Roman" w:cs="Times New Roman"/>
                <w:noProof/>
                <w:color w:val="000000"/>
              </w:rPr>
              <w:t>спектру</w:t>
            </w:r>
            <w:r w:rsidR="005B084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принципів, стратегій, механізмів, прийомів протистояння </w:t>
            </w:r>
            <w:r w:rsidR="00A6130E">
              <w:rPr>
                <w:rFonts w:ascii="Times New Roman" w:eastAsia="Times New Roman" w:hAnsi="Times New Roman" w:cs="Times New Roman"/>
                <w:noProof/>
                <w:color w:val="000000"/>
              </w:rPr>
              <w:t>в інформаційній</w:t>
            </w:r>
            <w:r w:rsidR="00BB2B59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сфері у минулому і сьогодні. </w:t>
            </w:r>
            <w:r w:rsidR="00A6130E">
              <w:rPr>
                <w:rFonts w:ascii="Times New Roman" w:eastAsia="Times New Roman" w:hAnsi="Times New Roman" w:cs="Times New Roman"/>
                <w:noProof/>
                <w:color w:val="000000"/>
              </w:rPr>
              <w:t>Курс значною мірою фокусується на інформацій площині російсько-української війни</w:t>
            </w:r>
            <w:r w:rsidR="004C5DC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як на </w:t>
            </w:r>
            <w:r w:rsidR="004C5DCF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case</w:t>
            </w:r>
            <w:r w:rsidR="004C5DCF" w:rsidRPr="004C5DC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="004C5DCF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study</w:t>
            </w:r>
            <w:r w:rsidR="00A6130E">
              <w:rPr>
                <w:rFonts w:ascii="Times New Roman" w:eastAsia="Times New Roman" w:hAnsi="Times New Roman" w:cs="Times New Roman"/>
                <w:noProof/>
                <w:color w:val="000000"/>
              </w:rPr>
              <w:t>, але</w:t>
            </w:r>
            <w:r w:rsidR="004C5DC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не обмежується ним.</w:t>
            </w:r>
            <w:r w:rsidR="00BB2B59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Взяті до уваги інформаційні протистояння у таких площинах, як маркетинг та індустрія розваг, на які з часом</w:t>
            </w:r>
            <w:r w:rsidR="00ED0B91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вс</w:t>
            </w:r>
            <w:r w:rsidR="00BB2B59">
              <w:rPr>
                <w:rFonts w:ascii="Times New Roman" w:eastAsia="Times New Roman" w:hAnsi="Times New Roman" w:cs="Times New Roman"/>
                <w:noProof/>
                <w:color w:val="000000"/>
              </w:rPr>
              <w:t>е більше</w:t>
            </w:r>
            <w:r w:rsidR="00ED0B91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концентруються ресурси теоретиків та практиків інформаційних воєн</w:t>
            </w:r>
            <w:r w:rsidR="00BB2B59">
              <w:rPr>
                <w:rFonts w:ascii="Times New Roman" w:eastAsia="Times New Roman" w:hAnsi="Times New Roman" w:cs="Times New Roman"/>
                <w:noProof/>
                <w:color w:val="000000"/>
              </w:rPr>
              <w:t>.</w:t>
            </w:r>
          </w:p>
          <w:p w:rsidR="00C142C1" w:rsidRPr="00A6130E" w:rsidRDefault="00C142C1" w:rsidP="004C5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2A2A84" w:rsidRDefault="00914DC5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Мета </w:t>
            </w:r>
            <w:r>
              <w:rPr>
                <w:rFonts w:ascii="Times New Roman" w:eastAsia="Times New Roman" w:hAnsi="Times New Roman" w:cs="Times New Roman"/>
              </w:rPr>
              <w:t xml:space="preserve">та цілі </w:t>
            </w:r>
            <w:r w:rsidRPr="002A2A84">
              <w:rPr>
                <w:rFonts w:ascii="Times New Roman" w:eastAsia="Times New Roman" w:hAnsi="Times New Roman" w:cs="Times New Roman"/>
              </w:rPr>
              <w:t>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2A2A84" w:rsidRDefault="008642B8" w:rsidP="00ED0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>Мета курсу «</w:t>
            </w:r>
            <w:r w:rsidR="00ED0B91" w:rsidRPr="002A2A84">
              <w:rPr>
                <w:rFonts w:ascii="Times New Roman" w:eastAsia="Times New Roman" w:hAnsi="Times New Roman" w:cs="Times New Roman"/>
                <w:bCs/>
              </w:rPr>
              <w:t>Інформаційна війна і журналістика</w:t>
            </w:r>
            <w:r w:rsidR="00ED0B91" w:rsidRPr="002A2A84">
              <w:rPr>
                <w:rFonts w:ascii="Times New Roman" w:eastAsia="Times New Roman" w:hAnsi="Times New Roman" w:cs="Times New Roman"/>
              </w:rPr>
              <w:t>» – осмислити загальні закономірності інформаційних воєн, інформаційних операцій та супутніх процесів і явищ як феноменів медійної царини.</w:t>
            </w:r>
            <w:r w:rsidRPr="002A2A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42B8" w:rsidRPr="002A2A84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>Цілі (завдання) дисципліни:</w:t>
            </w:r>
          </w:p>
          <w:p w:rsidR="002A2A84" w:rsidRPr="002A2A84" w:rsidRDefault="002A2A84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>– Розширити рамки розуміння інформаційної війни як явища;</w:t>
            </w:r>
          </w:p>
          <w:p w:rsidR="008642B8" w:rsidRPr="002A2A84" w:rsidRDefault="008642B8" w:rsidP="00ED0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– </w:t>
            </w:r>
            <w:r w:rsidR="00ED0B91" w:rsidRPr="002A2A84">
              <w:rPr>
                <w:rFonts w:ascii="Times New Roman" w:eastAsia="Times New Roman" w:hAnsi="Times New Roman" w:cs="Times New Roman"/>
              </w:rPr>
              <w:t>Осмислити феномен інформаційної війни в історичній перспективі</w:t>
            </w:r>
            <w:r w:rsidRPr="002A2A84">
              <w:rPr>
                <w:rFonts w:ascii="Times New Roman" w:eastAsia="Times New Roman" w:hAnsi="Times New Roman" w:cs="Times New Roman"/>
              </w:rPr>
              <w:t>;</w:t>
            </w:r>
          </w:p>
          <w:p w:rsidR="00ED0B91" w:rsidRPr="002A2A84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– </w:t>
            </w:r>
            <w:r w:rsidR="00ED0B91" w:rsidRPr="002A2A84">
              <w:rPr>
                <w:rFonts w:ascii="Times New Roman" w:eastAsia="Times New Roman" w:hAnsi="Times New Roman" w:cs="Times New Roman"/>
              </w:rPr>
              <w:t>Отримати цілісне розуміння ключових тенденцій в інформаційних війнах сучасності</w:t>
            </w:r>
            <w:r w:rsidR="002A2A84" w:rsidRPr="002A2A84">
              <w:rPr>
                <w:rFonts w:ascii="Times New Roman" w:eastAsia="Times New Roman" w:hAnsi="Times New Roman" w:cs="Times New Roman"/>
              </w:rPr>
              <w:t>;</w:t>
            </w:r>
          </w:p>
          <w:p w:rsidR="008642B8" w:rsidRPr="002A2A84" w:rsidRDefault="008642B8" w:rsidP="00ED0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– Навчитися застосовувати набуті знання на практиці, </w:t>
            </w:r>
            <w:r w:rsidR="00ED0B91" w:rsidRPr="002A2A84">
              <w:rPr>
                <w:rFonts w:ascii="Times New Roman" w:eastAsia="Times New Roman" w:hAnsi="Times New Roman" w:cs="Times New Roman"/>
              </w:rPr>
              <w:t>аналізуючи реальні інформаційні війни, моделюючи інформаційні операції</w:t>
            </w:r>
            <w:r w:rsidRPr="002A2A84">
              <w:rPr>
                <w:rFonts w:ascii="Times New Roman" w:eastAsia="Times New Roman" w:hAnsi="Times New Roman" w:cs="Times New Roman"/>
              </w:rPr>
              <w:t>.</w:t>
            </w:r>
          </w:p>
          <w:p w:rsidR="008642B8" w:rsidRPr="002A2A84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53DA7" w:rsidRPr="00914DC5" w:rsidRDefault="008642B8" w:rsidP="009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b/>
                <w:bCs/>
              </w:rPr>
              <w:t>Базова</w:t>
            </w:r>
            <w:r w:rsidRPr="00053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Beacháin D. Ó, Polese A., ‘The Colour Revolution Virus and Authoritarian Antidotes:Political Protest and Regime Counter Attacks in Post-Communist Spaces’,Demokratizatsiya: The Journal of Post-soviet Democratization, 19, 2011, pp. 111-132.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Bernhard Nancy. U.S. Television News and Cold War Propaganda, 1947-1960,  University Press, 1999.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Bouchet Nicolas. Russia’s “militarization” of colour revolutions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Briandana Rizki; Marta Rustono Farady; Mijan Rohana; and Fauzi Eka Perwitasari.The Ideology of Racism in Contemporary HollywoodFilms on Netflix: A Case Study on“All the Boys I’ve Loved Before. Jurnal Komunikasi Indonesia, 2022, Vol. 11: No. 1, Article 5.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Brydon, Steven R. American Propaganda from the Spanish-American War to Iraq: War Stories. Lexington Books, 2021.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Burley Shane. Why We Fight: Essays on Fascism, Resistance, and Surviving the Apocalypse. AK Press, 2021.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053DA7" w:rsidRPr="00914DC5">
              <w:rPr>
                <w:rFonts w:ascii="Times New Roman" w:eastAsia="Times New Roman" w:hAnsi="Times New Roman" w:cs="Times New Roman"/>
                <w:lang w:val="es-ES"/>
              </w:rPr>
              <w:t>.</w:t>
            </w:r>
            <w:r w:rsidR="00053DA7" w:rsidRPr="00914DC5">
              <w:rPr>
                <w:rFonts w:ascii="Times New Roman" w:eastAsia="Times New Roman" w:hAnsi="Times New Roman" w:cs="Times New Roman"/>
                <w:lang w:val="es-ES"/>
              </w:rPr>
              <w:tab/>
              <w:t xml:space="preserve">Deijl Aarnoud R van der. 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Protest or Propaganda: War in the Old Testament Book of Kings and in Contemporaneous Ancient Near Eastern Texts. BRILL, 2008.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Dembskey Evan. Information warfare in Greece and Rome: Cryptography and Steganography // Proceedings of  the 9th European Conference on i-Warfare and Security, 2010.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Demm, Eberhard. Censorship and Propaganda in World War I: A Comprehensive History. Bloomsbury Publishing, 2019.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0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Dominguez Lauren. Nike vs. Adidas. International relations journal, 2020, issue 39, P. 37 – 47.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14DC5">
              <w:rPr>
                <w:rFonts w:ascii="Times New Roman" w:eastAsia="Times New Roman" w:hAnsi="Times New Roman" w:cs="Times New Roman"/>
                <w:lang w:val="de-DE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1</w:t>
            </w:r>
            <w:r w:rsidRPr="00914DC5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914DC5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Enemy Images in War Propaganda.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Cambridge Scholars Press Limited, 2012.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2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Everett Hunt. Ancient rhetoric and modern propaganda, Quarterly Journal of Speech, 1951, 37:2, 157-160.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3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Fridman Ofer. Russian "Hybrid Warfare": Resurgence and Politicization. Oxford University Press, 2018.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4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H</w:t>
            </w:r>
            <w:r w:rsidRPr="00053DA7">
              <w:rPr>
                <w:rFonts w:ascii="Cambria Math" w:eastAsia="Times New Roman" w:hAnsi="Cambria Math" w:cs="Cambria Math"/>
                <w:lang w:val="en-US"/>
              </w:rPr>
              <w:t>⊘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genhaven Jesper. Prophecy and propaganda aspects of political and religious reasoning in Israel and the ancient near east, Scandinavian Journal of the Old Testament, 1989, 3:1, 125-141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5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Hybrid Warfare. JSOU Report 13-4.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6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International Encyclopedia of the Social &amp; Behavioral Sciences, 2nd edition, Vol 25. Oxford: Elsevier, 2015, pp. 395–400.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7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Joan Donovan, Emily Dreyfuss, Brian Friedberg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4DC5">
              <w:rPr>
                <w:rFonts w:ascii="Times New Roman" w:eastAsia="Times New Roman" w:hAnsi="Times New Roman" w:cs="Times New Roman"/>
              </w:rPr>
              <w:t>8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Jones Andrew, Jones Andy, Kovacich Gerald L, Luzwick Perry G. Global Information Warfare: How Businesses, Governments, and Others Achieve Objectives and Attain Competitive Advantages. Taylor &amp; Francis, 2002.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Landolt Laura K. Opportunities and constraints: comparing Tunisia and Egypt to the coloured revolutions. Democratization, 2014, 21:6, P. 984-1006.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0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Meme Wars: The Untold Story of the Online Battles Upending Democracy in America. Bloomsbury Publishing USA, 2022.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14DC5">
              <w:rPr>
                <w:rFonts w:ascii="Times New Roman" w:eastAsia="Times New Roman" w:hAnsi="Times New Roman" w:cs="Times New Roman"/>
                <w:lang w:val="de-DE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1</w:t>
            </w:r>
            <w:r w:rsidRPr="00914DC5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914DC5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Michael Yankoski, Walter Scheirer &amp; Tim Weninger.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Meme warfare: AI countermeasures to disinformation should focus on popular, not perfect, fakes, Bulletin of the Atomic Scientists, 2021, 77:3, 119-123.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2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Mitchell Lincoln A. The Color Revolutions. University of Pennsylvania Press, 2012.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3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Morris Langdon. Business Model Warfare”, Journal of Business Models, 2014, Vol. 1, No. 1, P. 13-37.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4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Munro Iain. Information Warfare in Business: Strategies of Control and Resistance in the Network Society. Taylor &amp; Francis, 2004.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5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Pallister Kathryn. Netflix Nostalgia: Streaming the Past on Demand. Rowman &amp; Littlefield, 2019.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6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Ponsonby Arthur. Falsehood in War-Time. London : George Allen and Unwin, 1928.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7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Ralph Thiele (ed.) Hybrid Warfare: Future and Technologies. Springer VS, 2021.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14DC5">
              <w:rPr>
                <w:rFonts w:ascii="Times New Roman" w:eastAsia="Times New Roman" w:hAnsi="Times New Roman" w:cs="Times New Roman"/>
              </w:rPr>
              <w:t>8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Rawnsley, Gary D.. Cold-War Propaganda in the 1950s. Великобритания: Palgrave Macmillan UK, 2016.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053DA7" w:rsidRPr="00914DC5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="00053DA7" w:rsidRPr="00914DC5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Reichborn-Kjennerud Erik, Cullen Patrick. </w:t>
            </w:r>
            <w:r w:rsidR="00053DA7" w:rsidRPr="00053DA7">
              <w:rPr>
                <w:rFonts w:ascii="Times New Roman" w:eastAsia="Times New Roman" w:hAnsi="Times New Roman" w:cs="Times New Roman"/>
                <w:lang w:val="en-US"/>
              </w:rPr>
              <w:t>What is Hybrid Warfare? Norwegian Institute for International Affairs, 2016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0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Renz Bettina. Russia and ‘hybrid warfare’. Routledge, 2018.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1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Scriver, Stacey. War Propaganda. In: James D. Wright (editor-in-chief),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2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SILVA, Guilherme Ghisoni da. Memes war: the political use of pictures in Brazil 2019. Philósophos, Goiânia, v. 25, n. 2, p. 227-285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3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Sim Gerard. Individual Disruptors and Economic Gamechangers: Netflix, New Media, and Neoliberalism / The Netflix Effect : Technology and Entertainment in the 21st Century, edited by Kevin McDonald, and Daniel Smith-Rowsey. Bloomsbury Academic &amp; Professional, 2016.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4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Since Ukraine’s EuroMaidan, Russia sees mass anti-regime protests at home and abroad as a military threat. Policy Perspectives, 2016, Vol. 4/2, January.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5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Stole, Inger L. Advertising at War: Business, Consumers, and Government in the 1940s. University of Illinois Press, 2012.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6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The JSOU Press. MacDill Air Force Base, Florida, 2013.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7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The Justification of War and International Order: From Past to Present. Oxford University Press, 2021.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</w:t>
            </w:r>
            <w:r w:rsidR="00914DC5">
              <w:rPr>
                <w:rFonts w:ascii="Times New Roman" w:eastAsia="Times New Roman" w:hAnsi="Times New Roman" w:cs="Times New Roman"/>
              </w:rPr>
              <w:t>8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Thomas Paterson &amp; Lauren Hanley (2020) Political warfare in the digital age: cyber subversion, information operations and ‘deep fakes’, Australian Journal of International Affairs, 74:4, 439-454</w:t>
            </w:r>
          </w:p>
          <w:p w:rsidR="00053DA7" w:rsidRPr="00053DA7" w:rsidRDefault="00914DC5" w:rsidP="00053DA7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053DA7" w:rsidRPr="00053DA7"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="00053DA7" w:rsidRPr="00053DA7">
              <w:rPr>
                <w:rFonts w:ascii="Times New Roman" w:eastAsia="Times New Roman" w:hAnsi="Times New Roman" w:cs="Times New Roman"/>
                <w:lang w:val="pl-PL"/>
              </w:rPr>
              <w:tab/>
              <w:t>Thomson Olivier. Historia propagandy. Warszawa: Książka i Wiedza, 2001.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914DC5">
              <w:rPr>
                <w:rFonts w:ascii="Times New Roman" w:eastAsia="Times New Roman" w:hAnsi="Times New Roman" w:cs="Times New Roman"/>
              </w:rPr>
              <w:t>0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ab/>
              <w:t>Welch, David. World War II Propaganda: Analyzing the Art of Persuasion During Wartime. ABC-CLIO, 2017.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14DC5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914DC5">
              <w:rPr>
                <w:rFonts w:ascii="Times New Roman" w:eastAsia="Times New Roman" w:hAnsi="Times New Roman" w:cs="Times New Roman"/>
              </w:rPr>
              <w:t>1</w:t>
            </w:r>
            <w:r w:rsidRPr="00914DC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914DC5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Лі Сінь, Лі Сянь, Лю Лю.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36 Стратагем. Харків: Фоліо, 2016.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914DC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Мейер Робінсон. Похмурі висновки найбільшого дослідження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fake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news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 xml:space="preserve"> // Листи до приятелів, 2018,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https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://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lysty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ua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fake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news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914DC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Померанцев Пітер. Це не пропаганда. Подорож на війну проти реальності. Київ: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Yakaboo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, 2020.</w:t>
            </w:r>
          </w:p>
          <w:p w:rsidR="00053DA7" w:rsidRPr="00053DA7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914DC5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ab/>
              <w:t>Сунь-дзи. Мистецтво війни. Львів: Видавництво Старого Лева, 2015.</w:t>
            </w:r>
          </w:p>
          <w:p w:rsidR="008642B8" w:rsidRPr="00914DC5" w:rsidRDefault="00053DA7" w:rsidP="00914DC5">
            <w:pP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53DA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914DC5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53DA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Траут Джек, Райс Ел. Маркетингові війни. </w:t>
            </w:r>
            <w:r w:rsidRPr="00053DA7">
              <w:rPr>
                <w:rFonts w:ascii="Times New Roman" w:eastAsia="Times New Roman" w:hAnsi="Times New Roman" w:cs="Times New Roman"/>
                <w:lang w:val="en-US"/>
              </w:rPr>
              <w:t>Фабула</w:t>
            </w:r>
            <w:r w:rsidRPr="00914DC5">
              <w:rPr>
                <w:rFonts w:ascii="Times New Roman" w:eastAsia="Times New Roman" w:hAnsi="Times New Roman" w:cs="Times New Roman"/>
                <w:lang w:val="es-ES"/>
              </w:rPr>
              <w:t>, 2019.</w:t>
            </w:r>
          </w:p>
          <w:p w:rsidR="00053DA7" w:rsidRPr="00914DC5" w:rsidRDefault="00053DA7" w:rsidP="0005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8642B8" w:rsidRPr="00914DC5" w:rsidRDefault="008642B8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53DA7">
              <w:rPr>
                <w:rFonts w:ascii="Times New Roman" w:eastAsia="Times New Roman" w:hAnsi="Times New Roman" w:cs="Times New Roman"/>
                <w:b/>
              </w:rPr>
              <w:t>Додаткова</w:t>
            </w:r>
            <w:r w:rsidRPr="00914DC5">
              <w:rPr>
                <w:rFonts w:ascii="Times New Roman" w:eastAsia="Times New Roman" w:hAnsi="Times New Roman" w:cs="Times New Roman"/>
                <w:b/>
                <w:lang w:val="es-ES"/>
              </w:rPr>
              <w:t>: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bookmarkStart w:id="1" w:name="_heading=h.17dp8vu" w:colFirst="0" w:colLast="0"/>
            <w:bookmarkEnd w:id="1"/>
            <w:r w:rsidRPr="00914DC5">
              <w:rPr>
                <w:rFonts w:ascii="Times New Roman" w:eastAsia="Times New Roman" w:hAnsi="Times New Roman" w:cs="Times New Roman"/>
                <w:bCs/>
                <w:lang w:val="es-ES"/>
              </w:rPr>
              <w:t>1.</w:t>
            </w:r>
            <w:r w:rsidRPr="00914DC5">
              <w:rPr>
                <w:rFonts w:ascii="Times New Roman" w:eastAsia="Times New Roman" w:hAnsi="Times New Roman" w:cs="Times New Roman"/>
                <w:bCs/>
                <w:lang w:val="es-ES"/>
              </w:rPr>
              <w:tab/>
              <w:t xml:space="preserve">Chifu Iulian., SimonsGreg. 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Rethinking Warfare in the 21st Century: The Influence and Effects of the Politics, Information and Communication. Cambridge University Press, 2023.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2.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Cordesman Anthony H. Russia and the “Color Revolution”. A Russian Military View of a World Destabilized by the US and the West. CSIS, 2014, May 28.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3.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Lasswell Harold. Propaganda technique in the world war. MIT Press, 1971.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4.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Liverani Mario. "Untruthful Steles": Propaganda and Reliability in Ancient Mesopotamia // Sarah Melville, Alice Slotsky (edited by). Opening the Tablet Box: Near Eastern Studies in Honor of Benjamin R. Foster. BRILL, 2010, P. 229 – 244.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5.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Martin Mike. Why We Fight. Hurst, 2018.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6.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War and American Popular Culture: A Historical Encyclopedia. Bloomsbury Academic, 1999.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>7.</w:t>
            </w:r>
            <w:r w:rsidRPr="00053DA7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Way Lucan. The Real Causes of the Color Revolutions. Journal of Democracy, 2008, Number 3 (July).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>8.</w:t>
            </w: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Почепцов Георгий. Виртуальные войны. Фейки. Харьков: Фолио, 2019.</w:t>
            </w:r>
          </w:p>
          <w:p w:rsidR="00053DA7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>9.</w:t>
            </w: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Почепцов Георгий. Гламур 2.0: телесериалы, масскульт и соцмедиа как создатели виртуальной реальности. Харьков: Фолио, 2018.</w:t>
            </w:r>
          </w:p>
          <w:p w:rsidR="00053DA7" w:rsidRPr="00914DC5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>10.</w:t>
            </w: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 xml:space="preserve">Почепцов Георгий. Когнитивные войны в соцмедиа, массовой культуре и массовых коммуникациях. </w:t>
            </w:r>
            <w:r w:rsidRPr="00914DC5">
              <w:rPr>
                <w:rFonts w:ascii="Times New Roman" w:eastAsia="Times New Roman" w:hAnsi="Times New Roman" w:cs="Times New Roman"/>
                <w:bCs/>
                <w:lang w:val="ru-RU"/>
              </w:rPr>
              <w:t>Харьков: Фолио, 2019.</w:t>
            </w:r>
          </w:p>
          <w:p w:rsidR="00053DA7" w:rsidRPr="00914DC5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14DC5">
              <w:rPr>
                <w:rFonts w:ascii="Times New Roman" w:eastAsia="Times New Roman" w:hAnsi="Times New Roman" w:cs="Times New Roman"/>
                <w:bCs/>
                <w:lang w:val="ru-RU"/>
              </w:rPr>
              <w:t>11.</w:t>
            </w:r>
            <w:r w:rsidRPr="00914DC5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Почепцов Георгий. Пропаганда 2.0. Харьков: Фолио, 2018.</w:t>
            </w:r>
          </w:p>
          <w:p w:rsidR="008642B8" w:rsidRPr="00053DA7" w:rsidRDefault="00053DA7" w:rsidP="0005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>12.</w:t>
            </w:r>
            <w:r w:rsidRPr="00053DA7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Почепцов Георгий. Управление будущим. Харьков: Фолио, 2019.</w:t>
            </w:r>
          </w:p>
          <w:p w:rsidR="008642B8" w:rsidRPr="008642B8" w:rsidRDefault="008642B8" w:rsidP="00C142C1">
            <w:p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C142C1" w:rsidP="00C1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8642B8" w:rsidRPr="008642B8">
              <w:rPr>
                <w:rFonts w:ascii="Times New Roman" w:eastAsia="Times New Roman" w:hAnsi="Times New Roman" w:cs="Times New Roman"/>
              </w:rPr>
              <w:t xml:space="preserve"> години аудиторних занять 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="008642B8" w:rsidRPr="008642B8">
              <w:rPr>
                <w:rFonts w:ascii="Times New Roman" w:eastAsia="Times New Roman" w:hAnsi="Times New Roman" w:cs="Times New Roman"/>
              </w:rPr>
              <w:t xml:space="preserve"> год. лекційних і 16 год. практичних занять) та  66 год.  самостійної роботи. 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7E7CE9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Після завершення цього курсу 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студент буде 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</w:pPr>
          </w:p>
          <w:p w:rsidR="008642B8" w:rsidRPr="00F50EE4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50EE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знати</w:t>
            </w:r>
            <w:r w:rsidRPr="00F50EE4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8642B8" w:rsidRPr="00F50EE4" w:rsidRDefault="008642B8" w:rsidP="0031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4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="002A2A84" w:rsidRPr="00F50EE4">
              <w:rPr>
                <w:rFonts w:ascii="Times New Roman" w:eastAsia="Times New Roman" w:hAnsi="Times New Roman" w:cs="Times New Roman"/>
                <w:lang w:val="ru-RU"/>
              </w:rPr>
              <w:t xml:space="preserve">Історичну </w:t>
            </w:r>
            <w:r w:rsidR="00313AC3">
              <w:rPr>
                <w:rFonts w:ascii="Times New Roman" w:eastAsia="Times New Roman" w:hAnsi="Times New Roman" w:cs="Times New Roman"/>
              </w:rPr>
              <w:t>перспективу</w:t>
            </w:r>
            <w:r w:rsidR="002A2A84" w:rsidRPr="00F50EE4">
              <w:rPr>
                <w:rFonts w:ascii="Times New Roman" w:eastAsia="Times New Roman" w:hAnsi="Times New Roman" w:cs="Times New Roman"/>
                <w:lang w:val="ru-RU"/>
              </w:rPr>
              <w:t xml:space="preserve"> інформаційних воєн</w:t>
            </w:r>
            <w:r w:rsidRPr="00F50EE4">
              <w:rPr>
                <w:rFonts w:ascii="Times New Roman" w:eastAsia="Times New Roman" w:hAnsi="Times New Roman" w:cs="Times New Roman"/>
              </w:rPr>
              <w:t>;</w:t>
            </w:r>
          </w:p>
          <w:p w:rsidR="008642B8" w:rsidRPr="00F50EE4" w:rsidRDefault="002A2A84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4">
              <w:rPr>
                <w:rFonts w:ascii="Times New Roman" w:eastAsia="Times New Roman" w:hAnsi="Times New Roman" w:cs="Times New Roman"/>
              </w:rPr>
              <w:t>– Нові можливості інформаційної війни у цифрову епоху</w:t>
            </w:r>
            <w:r w:rsidR="008642B8" w:rsidRPr="00F50EE4">
              <w:rPr>
                <w:rFonts w:ascii="Times New Roman" w:eastAsia="Times New Roman" w:hAnsi="Times New Roman" w:cs="Times New Roman"/>
              </w:rPr>
              <w:t>;</w:t>
            </w:r>
          </w:p>
          <w:p w:rsidR="008642B8" w:rsidRPr="00F50EE4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4">
              <w:rPr>
                <w:rFonts w:ascii="Times New Roman" w:eastAsia="Times New Roman" w:hAnsi="Times New Roman" w:cs="Times New Roman"/>
              </w:rPr>
              <w:t xml:space="preserve">– </w:t>
            </w:r>
            <w:r w:rsidR="002A2A84" w:rsidRPr="00F50EE4">
              <w:rPr>
                <w:rFonts w:ascii="Times New Roman" w:eastAsia="Times New Roman" w:hAnsi="Times New Roman" w:cs="Times New Roman"/>
              </w:rPr>
              <w:t>Механіку операцій впливу</w:t>
            </w:r>
            <w:r w:rsidRPr="00F50EE4">
              <w:rPr>
                <w:rFonts w:ascii="Times New Roman" w:eastAsia="Times New Roman" w:hAnsi="Times New Roman" w:cs="Times New Roman"/>
              </w:rPr>
              <w:t>;</w:t>
            </w:r>
          </w:p>
          <w:p w:rsidR="008642B8" w:rsidRPr="00F50EE4" w:rsidRDefault="008642B8" w:rsidP="00F5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4">
              <w:rPr>
                <w:rFonts w:ascii="Times New Roman" w:eastAsia="Times New Roman" w:hAnsi="Times New Roman" w:cs="Times New Roman"/>
              </w:rPr>
              <w:t xml:space="preserve">– </w:t>
            </w:r>
            <w:r w:rsidR="002A2A84" w:rsidRPr="00F50EE4">
              <w:rPr>
                <w:rFonts w:ascii="Times New Roman" w:eastAsia="Times New Roman" w:hAnsi="Times New Roman" w:cs="Times New Roman"/>
              </w:rPr>
              <w:t>Особливості людської психологі</w:t>
            </w:r>
            <w:r w:rsidR="00F50EE4" w:rsidRPr="00F50EE4">
              <w:rPr>
                <w:rFonts w:ascii="Times New Roman" w:eastAsia="Times New Roman" w:hAnsi="Times New Roman" w:cs="Times New Roman"/>
              </w:rPr>
              <w:t>ї, які використовують агресори під час інформаційних операцій</w:t>
            </w:r>
            <w:r w:rsidRPr="00F50EE4">
              <w:rPr>
                <w:rFonts w:ascii="Times New Roman" w:eastAsia="Times New Roman" w:hAnsi="Times New Roman" w:cs="Times New Roman"/>
              </w:rPr>
              <w:t>;</w:t>
            </w:r>
          </w:p>
          <w:p w:rsidR="002A2A84" w:rsidRPr="00F50EE4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="002A2A84" w:rsidRPr="00F50EE4">
              <w:rPr>
                <w:rFonts w:ascii="Times New Roman" w:eastAsia="Times New Roman" w:hAnsi="Times New Roman" w:cs="Times New Roman"/>
                <w:lang w:val="ru-RU"/>
              </w:rPr>
              <w:t xml:space="preserve"> Технології </w:t>
            </w:r>
            <w:r w:rsidR="00313AC3">
              <w:rPr>
                <w:rFonts w:ascii="Times New Roman" w:eastAsia="Times New Roman" w:hAnsi="Times New Roman" w:cs="Times New Roman"/>
                <w:lang w:val="ru-RU"/>
              </w:rPr>
              <w:t>використання тролів і ботів в і</w:t>
            </w:r>
            <w:r w:rsidR="002A2A84" w:rsidRPr="00F50EE4">
              <w:rPr>
                <w:rFonts w:ascii="Times New Roman" w:eastAsia="Times New Roman" w:hAnsi="Times New Roman" w:cs="Times New Roman"/>
                <w:lang w:val="ru-RU"/>
              </w:rPr>
              <w:t>нформаційних війнах;</w:t>
            </w:r>
          </w:p>
          <w:p w:rsidR="008642B8" w:rsidRPr="007E7CE9" w:rsidRDefault="008642B8" w:rsidP="00F5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E7CE9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8642B8" w:rsidRPr="002A2A84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2A8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вміти</w:t>
            </w:r>
            <w:r w:rsidRPr="002A2A84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8642B8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– Помічати та розуміти </w:t>
            </w:r>
            <w:r w:rsidR="002A2A84" w:rsidRPr="002A2A84">
              <w:rPr>
                <w:rFonts w:ascii="Times New Roman" w:eastAsia="Times New Roman" w:hAnsi="Times New Roman" w:cs="Times New Roman"/>
              </w:rPr>
              <w:t>інформаційні війни у медіапросторі</w:t>
            </w:r>
            <w:r w:rsidRPr="002A2A84">
              <w:rPr>
                <w:rFonts w:ascii="Times New Roman" w:eastAsia="Times New Roman" w:hAnsi="Times New Roman" w:cs="Times New Roman"/>
              </w:rPr>
              <w:t>;</w:t>
            </w:r>
          </w:p>
          <w:p w:rsidR="002A2A84" w:rsidRPr="002A2A84" w:rsidRDefault="002A2A84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Ідентифікувати інформаційні впливи;</w:t>
            </w:r>
          </w:p>
          <w:p w:rsidR="008642B8" w:rsidRPr="002A2A84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>–</w:t>
            </w:r>
            <w:r w:rsidR="002A2A84" w:rsidRPr="002A2A84">
              <w:rPr>
                <w:rFonts w:ascii="Times New Roman" w:eastAsia="Times New Roman" w:hAnsi="Times New Roman" w:cs="Times New Roman"/>
              </w:rPr>
              <w:t xml:space="preserve"> Вибудовувати захист перед інформаційними операціями (ворога)</w:t>
            </w:r>
            <w:r w:rsidRPr="002A2A84">
              <w:rPr>
                <w:rFonts w:ascii="Times New Roman" w:eastAsia="Times New Roman" w:hAnsi="Times New Roman" w:cs="Times New Roman"/>
              </w:rPr>
              <w:t>;</w:t>
            </w:r>
          </w:p>
          <w:p w:rsidR="008642B8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A84">
              <w:rPr>
                <w:rFonts w:ascii="Times New Roman" w:eastAsia="Times New Roman" w:hAnsi="Times New Roman" w:cs="Times New Roman"/>
              </w:rPr>
              <w:t xml:space="preserve">– </w:t>
            </w:r>
            <w:r w:rsidR="002A2A84" w:rsidRPr="002A2A84">
              <w:rPr>
                <w:rFonts w:ascii="Times New Roman" w:eastAsia="Times New Roman" w:hAnsi="Times New Roman" w:cs="Times New Roman"/>
              </w:rPr>
              <w:t>Конструювати інформаційні стратегії для</w:t>
            </w:r>
            <w:r w:rsidR="002A2A84">
              <w:rPr>
                <w:rFonts w:ascii="Times New Roman" w:eastAsia="Times New Roman" w:hAnsi="Times New Roman" w:cs="Times New Roman"/>
              </w:rPr>
              <w:t xml:space="preserve"> потенційних</w:t>
            </w:r>
            <w:r w:rsidR="002A2A84" w:rsidRPr="002A2A84">
              <w:rPr>
                <w:rFonts w:ascii="Times New Roman" w:eastAsia="Times New Roman" w:hAnsi="Times New Roman" w:cs="Times New Roman"/>
              </w:rPr>
              <w:t xml:space="preserve"> політичних зрушень (війна, революція)</w:t>
            </w:r>
            <w:r w:rsidRPr="002A2A84">
              <w:rPr>
                <w:rFonts w:ascii="Times New Roman" w:eastAsia="Times New Roman" w:hAnsi="Times New Roman" w:cs="Times New Roman"/>
              </w:rPr>
              <w:t>;</w:t>
            </w:r>
          </w:p>
          <w:p w:rsidR="00914DC5" w:rsidRDefault="00914DC5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DC5" w:rsidRDefault="00914DC5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>Після вивчення курсу «</w:t>
            </w:r>
            <w:r>
              <w:rPr>
                <w:rFonts w:ascii="Times New Roman" w:eastAsia="Times New Roman" w:hAnsi="Times New Roman" w:cs="Times New Roman"/>
              </w:rPr>
              <w:t>Інформаційна війна і журналістика</w:t>
            </w:r>
            <w:r w:rsidRPr="00914DC5">
              <w:rPr>
                <w:rFonts w:ascii="Times New Roman" w:eastAsia="Times New Roman" w:hAnsi="Times New Roman" w:cs="Times New Roman"/>
              </w:rPr>
              <w:t xml:space="preserve">» у студента сформуються такі </w:t>
            </w:r>
            <w:r w:rsidRPr="00914DC5">
              <w:rPr>
                <w:rFonts w:ascii="Times New Roman" w:eastAsia="Times New Roman" w:hAnsi="Times New Roman" w:cs="Times New Roman"/>
                <w:b/>
                <w:bCs/>
              </w:rPr>
              <w:t>загальні та спеціальні компетентності</w:t>
            </w:r>
            <w:r w:rsidRPr="00914DC5">
              <w:rPr>
                <w:rFonts w:ascii="Times New Roman" w:eastAsia="Times New Roman" w:hAnsi="Times New Roman" w:cs="Times New Roman"/>
              </w:rPr>
              <w:t>: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ЗК01 Здатність знаходити, обробляти та аналізувати інформацію з різних джерел.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lastRenderedPageBreak/>
              <w:t>ЗК04  Здатність до абстрактного та аналітичного мислення й генерування ідей.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ЗК08  Здатність використовувати знання та розуміння предметної галузі та розуміння професійної діяльності журналіста за кордоном.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ЗК09  Здатність застосовувати знання в практичних ситуаціях роботи в міжнародному відділі редакції.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 xml:space="preserve">СК03  Здатність створити інформаційний чи аналітичний матеріал для ЗМІ в контексті інформаційної безпеки. </w:t>
            </w:r>
          </w:p>
          <w:p w:rsid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СК05  Володіння основами українського законодавства в контексті діяльності ЗМІ та вміння застосовувати їх на практиці.</w:t>
            </w:r>
          </w:p>
          <w:p w:rsidR="00914DC5" w:rsidRDefault="00914DC5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DC5" w:rsidRDefault="00914DC5" w:rsidP="00914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DC5">
              <w:rPr>
                <w:rFonts w:ascii="Times New Roman" w:eastAsia="Times New Roman" w:hAnsi="Times New Roman" w:cs="Times New Roman"/>
              </w:rPr>
              <w:t xml:space="preserve">Після вивчення навчальної дисципліни студент повинен досягнути таких </w:t>
            </w:r>
            <w:r w:rsidRPr="00914DC5">
              <w:rPr>
                <w:rFonts w:ascii="Times New Roman" w:eastAsia="Times New Roman" w:hAnsi="Times New Roman" w:cs="Times New Roman"/>
                <w:b/>
                <w:bCs/>
              </w:rPr>
              <w:t>програмних результатів навчання</w:t>
            </w:r>
            <w:r w:rsidRPr="00914DC5">
              <w:rPr>
                <w:rFonts w:ascii="Times New Roman" w:eastAsia="Times New Roman" w:hAnsi="Times New Roman" w:cs="Times New Roman"/>
              </w:rPr>
              <w:t>: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 xml:space="preserve">ПРН01  Працювати як «універсальний журналіст»: створювати текстовий, аудіовізуальний та мультимедійний контент. 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 xml:space="preserve">ПРН06  Знати та застосовувати на практиці основні закони, які регулюють журналістську діяльність в Україні та світі. 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ПРН07  Вміти застосовувати стратегічні комунікації в умовах гібридної війни та підготувати аналітичні матеріали.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ПРН11  Застосовувати знання зі сфери предметної спеціалізації для створення інформаційного продукту чи для проведення інформаційної акції.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ПРН13  Виконувати пошук, оброблення та аналіз інформації з українських та зарубіжних джерел.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ПРН15  Використовувати необхідні знання й технології для виходу з кризових комунікаційний ситуацій на засадах толерантності, міжнародних діалогу й співробітництва.</w:t>
            </w:r>
          </w:p>
          <w:p w:rsidR="00343E73" w:rsidRPr="00343E73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ПРН17  Планувати свою діяльність та діяльність колективу з урахуванням цілей, обмежень та передбачуваних ризиків під час закордонних відряджень.</w:t>
            </w:r>
          </w:p>
          <w:p w:rsidR="00343E73" w:rsidRPr="002A2A84" w:rsidRDefault="00343E73" w:rsidP="0034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73">
              <w:rPr>
                <w:rFonts w:ascii="Times New Roman" w:eastAsia="Times New Roman" w:hAnsi="Times New Roman" w:cs="Times New Roman"/>
              </w:rPr>
              <w:t>ПРН21  Використовувати необхідні знання й технології для виходу з кризових комунікаційних ситуацій на засадах толерантності, діалогу й співробітництва.</w:t>
            </w:r>
          </w:p>
          <w:p w:rsidR="008642B8" w:rsidRPr="00914DC5" w:rsidRDefault="008642B8" w:rsidP="002A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lastRenderedPageBreak/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343E73" w:rsidP="00832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Інформаційна війна, інформаційна операція,</w:t>
            </w:r>
            <w:r w:rsidR="00C35BF1">
              <w:rPr>
                <w:rFonts w:ascii="Times New Roman" w:eastAsia="Times New Roman" w:hAnsi="Times New Roman" w:cs="Times New Roman"/>
              </w:rPr>
              <w:t xml:space="preserve"> малінформація,</w:t>
            </w:r>
            <w:r>
              <w:rPr>
                <w:rFonts w:ascii="Times New Roman" w:eastAsia="Times New Roman" w:hAnsi="Times New Roman" w:cs="Times New Roman"/>
              </w:rPr>
              <w:t xml:space="preserve"> формування громадської думки,</w:t>
            </w:r>
            <w:r w:rsidR="008320D3">
              <w:rPr>
                <w:rFonts w:ascii="Times New Roman" w:eastAsia="Times New Roman" w:hAnsi="Times New Roman" w:cs="Times New Roman"/>
              </w:rPr>
              <w:t xml:space="preserve"> маркетингова війна</w:t>
            </w:r>
            <w:r w:rsidR="00C35BF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642B8" w:rsidRPr="008642B8" w:rsidTr="008642B8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2B8" w:rsidRPr="00C35BF1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5BF1">
              <w:rPr>
                <w:rFonts w:ascii="Times New Roman" w:eastAsia="Times New Roman" w:hAnsi="Times New Roman" w:cs="Times New Roman"/>
                <w:bCs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Очний 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Див. СХЕМУ КУРСУ, додану до силабуса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ED0B91" w:rsidP="00864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</w:rPr>
              <w:t xml:space="preserve"> в кінці семестру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 базових знань із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апарату.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Навчальні методи та техніки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Лекція, гра-симуляція, дискусія, групова робота, презентації медіапроєктів, елементи онлайн-навчання: робота з онлайн-дошкою на платформі Padlet, Jamboard, Mentimetr, </w:t>
            </w:r>
            <w:r w:rsidRPr="008642B8">
              <w:rPr>
                <w:rFonts w:ascii="Times New Roman" w:eastAsia="Times New Roman" w:hAnsi="Times New Roman" w:cs="Times New Roman"/>
                <w:lang w:val="en-US"/>
              </w:rPr>
              <w:t>Prezi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, </w:t>
            </w:r>
            <w:r w:rsidRPr="008642B8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2B8">
              <w:rPr>
                <w:rFonts w:ascii="Times New Roman" w:eastAsia="Times New Roman" w:hAnsi="Times New Roman" w:cs="Times New Roman"/>
                <w:lang w:val="en-US"/>
              </w:rPr>
              <w:t>Classroom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, </w:t>
            </w:r>
            <w:r w:rsidRPr="008642B8">
              <w:rPr>
                <w:rFonts w:ascii="Times New Roman" w:eastAsia="Times New Roman" w:hAnsi="Times New Roman" w:cs="Times New Roman"/>
                <w:lang w:val="en-US"/>
              </w:rPr>
              <w:t>Flip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та ін.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Необхідне обладнання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Комп’ютер або інші ґаджети, проектор</w:t>
            </w:r>
          </w:p>
        </w:tc>
      </w:tr>
      <w:tr w:rsidR="008642B8" w:rsidRPr="008642B8" w:rsidTr="008642B8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8" w:rsidRPr="008642B8" w:rsidRDefault="008642B8" w:rsidP="008642B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</w:t>
            </w:r>
          </w:p>
          <w:p w:rsidR="008642B8" w:rsidRPr="008642B8" w:rsidRDefault="008642B8" w:rsidP="00EA06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Р</w:t>
            </w:r>
            <w:r w:rsidR="00546AEE">
              <w:rPr>
                <w:rFonts w:ascii="Times New Roman" w:eastAsia="Times New Roman" w:hAnsi="Times New Roman" w:cs="Times New Roman"/>
              </w:rPr>
              <w:t xml:space="preserve">обота на практичних заняттях – </w:t>
            </w:r>
            <w:r w:rsidR="00546AEE" w:rsidRPr="00EA064D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EA064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балів</w:t>
            </w:r>
          </w:p>
          <w:p w:rsidR="008642B8" w:rsidRPr="008642B8" w:rsidRDefault="008642B8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Критерієм </w:t>
            </w:r>
            <w:r w:rsidR="00EA064D">
              <w:rPr>
                <w:rFonts w:ascii="Times New Roman" w:eastAsia="Times New Roman" w:hAnsi="Times New Roman" w:cs="Times New Roman"/>
              </w:rPr>
              <w:t>оцінювання є активність під час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семінарських занять, дискусій та ігор-симуляцій. </w:t>
            </w:r>
            <w:r w:rsidR="00EA064D">
              <w:rPr>
                <w:rFonts w:ascii="Times New Roman" w:eastAsia="Times New Roman" w:hAnsi="Times New Roman" w:cs="Times New Roman"/>
              </w:rPr>
              <w:t>Кожна усна активність під час семінарських занять має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письмовий відповідник</w:t>
            </w:r>
            <w:r w:rsidR="00EA064D">
              <w:rPr>
                <w:rFonts w:ascii="Times New Roman" w:eastAsia="Times New Roman" w:hAnsi="Times New Roman" w:cs="Times New Roman"/>
              </w:rPr>
              <w:t xml:space="preserve"> (у вигляді підготовленого домашнього завдання, письмово оформленої колективної роботи під час заняття тощо</w:t>
            </w:r>
            <w:r w:rsidRPr="008642B8">
              <w:rPr>
                <w:rFonts w:ascii="Times New Roman" w:eastAsia="Times New Roman" w:hAnsi="Times New Roman" w:cs="Times New Roman"/>
              </w:rPr>
              <w:t>). Оцінка за семінар включає обидві складові, аби уникнути надмірного розрахунку на імпровізацію або ж на домашню роботу. Важливим критерієм оцінювання є обізнаність із першоджерелами до кожної тем</w:t>
            </w:r>
            <w:r w:rsidR="00EA064D">
              <w:rPr>
                <w:rFonts w:ascii="Times New Roman" w:eastAsia="Times New Roman" w:hAnsi="Times New Roman" w:cs="Times New Roman"/>
              </w:rPr>
              <w:t>и. Всього на курс заплановано 8 практичних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</w:t>
            </w:r>
            <w:r w:rsidR="00EA064D">
              <w:rPr>
                <w:rFonts w:ascii="Times New Roman" w:eastAsia="Times New Roman" w:hAnsi="Times New Roman" w:cs="Times New Roman"/>
              </w:rPr>
              <w:t>занять</w:t>
            </w:r>
            <w:r w:rsidRPr="008642B8">
              <w:rPr>
                <w:rFonts w:ascii="Times New Roman" w:eastAsia="Times New Roman" w:hAnsi="Times New Roman" w:cs="Times New Roman"/>
              </w:rPr>
              <w:t>, активніс</w:t>
            </w:r>
            <w:r w:rsidR="00EA064D">
              <w:rPr>
                <w:rFonts w:ascii="Times New Roman" w:eastAsia="Times New Roman" w:hAnsi="Times New Roman" w:cs="Times New Roman"/>
              </w:rPr>
              <w:t>ть впродовж кожного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оцінюється у 5 балів максимум.</w:t>
            </w:r>
          </w:p>
          <w:p w:rsidR="008642B8" w:rsidRPr="008642B8" w:rsidRDefault="008642B8" w:rsidP="0086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2B8" w:rsidRPr="008642B8" w:rsidRDefault="008642B8" w:rsidP="00EA06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Активність під час лекцій – </w:t>
            </w:r>
            <w:r w:rsidR="00EA064D">
              <w:rPr>
                <w:rFonts w:ascii="Times New Roman" w:eastAsia="Times New Roman" w:hAnsi="Times New Roman" w:cs="Times New Roman"/>
              </w:rPr>
              <w:t>10 балів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Студенти отримують нагоду отримувати бали під час лекцій, беручи участь в опитуваннях, експериментах, груповій роботі, мозкових штурмах та ін.</w:t>
            </w:r>
          </w:p>
          <w:p w:rsidR="008642B8" w:rsidRPr="008642B8" w:rsidRDefault="008642B8" w:rsidP="008642B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8642B8" w:rsidRPr="008642B8" w:rsidRDefault="00EA064D" w:rsidP="00EA06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</w:t>
            </w:r>
            <w:r w:rsidR="008642B8" w:rsidRPr="008642B8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8642B8" w:rsidRPr="008642B8">
              <w:rPr>
                <w:rFonts w:ascii="Times New Roman" w:eastAsia="Times New Roman" w:hAnsi="Times New Roman" w:cs="Times New Roman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</w:rPr>
              <w:t>ів</w:t>
            </w:r>
          </w:p>
          <w:p w:rsidR="00EA064D" w:rsidRDefault="00EA064D" w:rsidP="00EA064D">
            <w:pPr>
              <w:spacing w:after="0" w:line="240" w:lineRule="auto"/>
              <w:ind w:firstLine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Іспит теж передбачає поєднання усного (відповідь на теоретичні питання) та письмового (тестування) компонентів. Усний іспит покликаний перевіірити концептуальне володіння матеріалом, письмовий – засвоєння фактів. За кожну складову іспиту студенту нараховується по 25 балів максимум.</w:t>
            </w:r>
          </w:p>
          <w:p w:rsidR="008642B8" w:rsidRPr="008642B8" w:rsidRDefault="008642B8" w:rsidP="00EA064D">
            <w:pPr>
              <w:spacing w:after="0" w:line="240" w:lineRule="auto"/>
              <w:ind w:firstLine="599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  <w:b/>
              </w:rPr>
              <w:t>Письмові роботи: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Очікується, що студенти виконають кілька видів письмових робіт (презентація, </w:t>
            </w:r>
            <w:r w:rsidR="00EA064D">
              <w:rPr>
                <w:rFonts w:ascii="Times New Roman" w:eastAsia="Times New Roman" w:hAnsi="Times New Roman" w:cs="Times New Roman"/>
              </w:rPr>
              <w:t>візуалізація, аналітичний звіт, доповідь</w:t>
            </w:r>
            <w:r w:rsidRPr="008642B8">
              <w:rPr>
                <w:rFonts w:ascii="Times New Roman" w:eastAsia="Times New Roman" w:hAnsi="Times New Roman" w:cs="Times New Roman"/>
              </w:rPr>
              <w:t>).</w:t>
            </w:r>
          </w:p>
          <w:p w:rsidR="008642B8" w:rsidRPr="008642B8" w:rsidRDefault="008642B8" w:rsidP="008642B8">
            <w:pPr>
              <w:spacing w:after="0" w:line="240" w:lineRule="auto"/>
              <w:ind w:firstLine="619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  <w:b/>
              </w:rPr>
              <w:t>Академічна доброчесність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 </w:t>
            </w:r>
          </w:p>
          <w:p w:rsidR="008642B8" w:rsidRPr="008642B8" w:rsidRDefault="008642B8" w:rsidP="008642B8">
            <w:pPr>
              <w:spacing w:after="0" w:line="240" w:lineRule="auto"/>
              <w:ind w:firstLine="619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  <w:b/>
              </w:rPr>
              <w:t>Відвідування занять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є важливою складовою навчання. </w:t>
            </w:r>
          </w:p>
          <w:p w:rsidR="008642B8" w:rsidRPr="008642B8" w:rsidRDefault="008642B8" w:rsidP="008642B8">
            <w:pPr>
              <w:spacing w:after="0" w:line="240" w:lineRule="auto"/>
              <w:ind w:firstLine="619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8642B8" w:rsidRPr="008642B8" w:rsidRDefault="008642B8" w:rsidP="008642B8">
            <w:pPr>
              <w:spacing w:after="0" w:line="240" w:lineRule="auto"/>
              <w:ind w:firstLine="619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  <w:b/>
              </w:rPr>
              <w:t>Література.</w:t>
            </w:r>
            <w:r w:rsidRPr="008642B8">
              <w:rPr>
                <w:rFonts w:ascii="Times New Roman" w:eastAsia="Times New Roman" w:hAnsi="Times New Roman" w:cs="Times New Roman"/>
              </w:rPr>
              <w:t xml:space="preserve"> Усю літературу, яку студенти не зможуть знайти самостійно, викладач надає виключно в освітніх цілях.</w:t>
            </w:r>
          </w:p>
          <w:p w:rsidR="008642B8" w:rsidRPr="008642B8" w:rsidRDefault="008642B8" w:rsidP="008642B8">
            <w:pPr>
              <w:shd w:val="clear" w:color="auto" w:fill="FFFFFF"/>
              <w:spacing w:after="0" w:line="240" w:lineRule="auto"/>
              <w:ind w:firstLine="619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2B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Політика виставлення балів.</w:t>
            </w:r>
            <w:r w:rsidRPr="008642B8">
              <w:rPr>
                <w:rFonts w:ascii="Times New Roman" w:eastAsia="Times New Roman" w:hAnsi="Times New Roman" w:cs="Times New Roman"/>
                <w:lang w:eastAsia="uk-UA"/>
              </w:rPr>
              <w:t xml:space="preserve"> Враховуються усі бали, набрані упродовж семестру, відповідно до розподілу балів за виконаними видами робіт</w:t>
            </w:r>
          </w:p>
          <w:p w:rsidR="008642B8" w:rsidRPr="008642B8" w:rsidRDefault="008642B8" w:rsidP="008642B8">
            <w:pPr>
              <w:shd w:val="clear" w:color="auto" w:fill="FFFFFF"/>
              <w:spacing w:after="0" w:line="240" w:lineRule="auto"/>
              <w:ind w:firstLine="619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2B8">
              <w:rPr>
                <w:rFonts w:ascii="Times New Roman" w:eastAsia="Times New Roman" w:hAnsi="Times New Roman" w:cs="Times New Roman"/>
                <w:lang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списування та плагіат; несвоєчасне виконання поставленого завдання і т. ін.</w:t>
            </w:r>
          </w:p>
          <w:p w:rsidR="008642B8" w:rsidRPr="008642B8" w:rsidRDefault="008642B8" w:rsidP="008642B8">
            <w:pPr>
              <w:shd w:val="clear" w:color="auto" w:fill="FFFFFF"/>
              <w:spacing w:after="0" w:line="240" w:lineRule="auto"/>
              <w:ind w:firstLine="61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Жодні форми порушення академічної доброчесності </w:t>
            </w:r>
            <w:r w:rsidRPr="008642B8">
              <w:rPr>
                <w:rFonts w:ascii="Times New Roman" w:eastAsia="Times New Roman" w:hAnsi="Times New Roman" w:cs="Times New Roman"/>
                <w:b/>
              </w:rPr>
              <w:t>не толеруються</w:t>
            </w:r>
            <w:r w:rsidRPr="008642B8">
              <w:rPr>
                <w:rFonts w:ascii="Times New Roman" w:eastAsia="Times New Roman" w:hAnsi="Times New Roman" w:cs="Times New Roman"/>
              </w:rPr>
              <w:t>.</w:t>
            </w:r>
          </w:p>
          <w:p w:rsidR="008642B8" w:rsidRPr="008642B8" w:rsidRDefault="008642B8" w:rsidP="008642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642B8" w:rsidRPr="00601537" w:rsidTr="00EA064D">
        <w:trPr>
          <w:trHeight w:val="2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2B8" w:rsidRPr="008642B8" w:rsidRDefault="00EA064D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Питання на</w:t>
            </w:r>
            <w:r w:rsidR="007E7CE9">
              <w:rPr>
                <w:rFonts w:ascii="Times New Roman" w:eastAsia="Times New Roman" w:hAnsi="Times New Roman" w:cs="Times New Roman"/>
                <w:bCs/>
              </w:rPr>
              <w:t xml:space="preserve"> усний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іспит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AEE" w:rsidRPr="0097383D" w:rsidRDefault="00601537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383D">
              <w:rPr>
                <w:rFonts w:ascii="Times New Roman" w:hAnsi="Times New Roman" w:cs="Times New Roman"/>
              </w:rPr>
              <w:t>Інформаційні операції у давньому Єгипті та Месопотамії</w:t>
            </w:r>
            <w:r w:rsidR="0097383D" w:rsidRPr="0097383D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7383D" w:rsidRPr="0097383D" w:rsidRDefault="0097383D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Згадки про інформаційні війни у давньокитайських писемних</w:t>
            </w:r>
            <w:r w:rsidR="000375EC">
              <w:rPr>
                <w:rFonts w:ascii="Times New Roman" w:hAnsi="Times New Roman" w:cs="Times New Roman"/>
                <w:lang w:val="uk-UA"/>
              </w:rPr>
              <w:t xml:space="preserve"> пам</w:t>
            </w:r>
            <w:r w:rsidR="000375EC" w:rsidRPr="0097383D">
              <w:rPr>
                <w:rFonts w:ascii="Times New Roman" w:hAnsi="Times New Roman" w:cs="Times New Roman"/>
                <w:lang w:val="ru-RU"/>
              </w:rPr>
              <w:t>’</w:t>
            </w:r>
            <w:r w:rsidR="000375EC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тках; </w:t>
            </w:r>
          </w:p>
          <w:p w:rsidR="0097383D" w:rsidRDefault="00601537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383D">
              <w:rPr>
                <w:rFonts w:ascii="Times New Roman" w:hAnsi="Times New Roman" w:cs="Times New Roman"/>
              </w:rPr>
              <w:t>Інформаційні операції у давній Греції</w:t>
            </w:r>
            <w:r w:rsidR="0097383D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375EC" w:rsidRDefault="00601537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383D">
              <w:rPr>
                <w:rFonts w:ascii="Times New Roman" w:hAnsi="Times New Roman" w:cs="Times New Roman"/>
              </w:rPr>
              <w:t>Інформаційні операції у давньому Римі</w:t>
            </w:r>
            <w:r w:rsidR="0097383D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A064D" w:rsidRPr="0097383D" w:rsidRDefault="0097383D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Інформаційні стратегії полководців стародавнього світу;</w:t>
            </w:r>
          </w:p>
          <w:p w:rsidR="0097383D" w:rsidRPr="003F39EA" w:rsidRDefault="0097383D" w:rsidP="0097383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383D">
              <w:rPr>
                <w:rFonts w:ascii="Times New Roman" w:hAnsi="Times New Roman" w:cs="Times New Roman"/>
              </w:rPr>
              <w:t>Фізична, інформаційна, віртуальна війна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F39EA" w:rsidRPr="000F49EF" w:rsidRDefault="003F39EA" w:rsidP="000F49E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Інформаційна складова у війнах </w:t>
            </w:r>
            <w:r w:rsidR="000F49EF">
              <w:rPr>
                <w:rFonts w:ascii="Times New Roman" w:hAnsi="Times New Roman" w:cs="Times New Roman"/>
                <w:lang w:val="uk-UA"/>
              </w:rPr>
              <w:t xml:space="preserve">від Середньовіччя до поч.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0F49E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F49E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r w:rsidR="000F49EF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F49EF" w:rsidRPr="0097383D" w:rsidRDefault="000F49EF" w:rsidP="000F49E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Інформаційна складова у війнах</w:t>
            </w:r>
            <w:r w:rsidRPr="000F49E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F49E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r w:rsidRPr="000F49E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F39EA" w:rsidRPr="003F39EA" w:rsidRDefault="003F39EA" w:rsidP="003F39E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Інформаційна активність (країна на вибір) у Першій світовій війні; </w:t>
            </w:r>
          </w:p>
          <w:p w:rsidR="003F39EA" w:rsidRPr="000F49EF" w:rsidRDefault="003F39EA" w:rsidP="003F39E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Інформаційна активність (країна на вибір) у Другій світовій війні;</w:t>
            </w:r>
          </w:p>
          <w:p w:rsidR="000F49EF" w:rsidRPr="000F49EF" w:rsidRDefault="000F49EF" w:rsidP="000F49E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Особливості інформаційної війни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0F49E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ст.;</w:t>
            </w:r>
          </w:p>
          <w:p w:rsidR="000F49EF" w:rsidRPr="007E7CE9" w:rsidRDefault="000F49EF" w:rsidP="000F49E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Феномен гібридної війни;</w:t>
            </w:r>
          </w:p>
          <w:p w:rsidR="007E7CE9" w:rsidRPr="000F49EF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Інформаційна складова</w:t>
            </w:r>
            <w:r w:rsidRPr="007E7C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фізичної війни у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7E7C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ст. (приклад на вибір – крім російсько-української війни);</w:t>
            </w:r>
          </w:p>
          <w:p w:rsidR="000F49EF" w:rsidRDefault="000F49EF" w:rsidP="000F49E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Фейк</w:t>
            </w:r>
            <w:r>
              <w:rPr>
                <w:rFonts w:ascii="Times New Roman" w:hAnsi="Times New Roman" w:cs="Times New Roman"/>
                <w:lang w:val="uk-UA"/>
              </w:rPr>
              <w:t xml:space="preserve"> як явище в інформаційній війні: специфіка застосування та ефективність (на конкретних прикладах);</w:t>
            </w:r>
          </w:p>
          <w:p w:rsidR="000F49EF" w:rsidRDefault="000F49EF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  <w:lang w:val="uk-UA"/>
              </w:rPr>
              <w:t xml:space="preserve"> як явище в інформаційній війні: специфіка застосування та ефективність (на конкретних прикладах);</w:t>
            </w:r>
          </w:p>
          <w:p w:rsid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Тенденційна і</w:t>
            </w:r>
            <w:r>
              <w:rPr>
                <w:rFonts w:ascii="Times New Roman" w:hAnsi="Times New Roman" w:cs="Times New Roman"/>
              </w:rPr>
              <w:t>нтерпретаці</w:t>
            </w:r>
            <w:r>
              <w:rPr>
                <w:rFonts w:ascii="Times New Roman" w:hAnsi="Times New Roman" w:cs="Times New Roman"/>
                <w:lang w:val="uk-UA"/>
              </w:rPr>
              <w:t>я фактів як прийом в інформаційній війні: специфіка застосування та ефективність (на конкретних прикладах);</w:t>
            </w:r>
          </w:p>
          <w:p w:rsid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</w:rPr>
              <w:t>аніпуляці</w:t>
            </w:r>
            <w:r>
              <w:rPr>
                <w:rFonts w:ascii="Times New Roman" w:hAnsi="Times New Roman" w:cs="Times New Roman"/>
                <w:lang w:val="uk-UA"/>
              </w:rPr>
              <w:t>я як прийом в інформаційній війні: специфіка застосування та ефективність (на конкретних прикладах);</w:t>
            </w:r>
          </w:p>
          <w:p w:rsidR="000F49EF" w:rsidRP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Конструювання та поширення н</w:t>
            </w:r>
            <w:r>
              <w:rPr>
                <w:rFonts w:ascii="Times New Roman" w:hAnsi="Times New Roman" w:cs="Times New Roman"/>
              </w:rPr>
              <w:t>аратив</w:t>
            </w:r>
            <w:r>
              <w:rPr>
                <w:rFonts w:ascii="Times New Roman" w:hAnsi="Times New Roman" w:cs="Times New Roman"/>
                <w:lang w:val="uk-UA"/>
              </w:rPr>
              <w:t>ів в рамках інформаційної війни (на конкретних прикладах);</w:t>
            </w:r>
          </w:p>
          <w:p w:rsidR="0074379B" w:rsidRP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379B">
              <w:rPr>
                <w:rFonts w:ascii="Times New Roman" w:hAnsi="Times New Roman" w:cs="Times New Roman"/>
              </w:rPr>
              <w:t>Принципи пропаганди під час війни за Артуром Понсобі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4379B" w:rsidRP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тролів в інформаційній війні;</w:t>
            </w:r>
          </w:p>
          <w:p w:rsidR="0074379B" w:rsidRPr="000F49EF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ботів в інформаційній війні;</w:t>
            </w:r>
          </w:p>
          <w:p w:rsidR="0074379B" w:rsidRP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379B">
              <w:rPr>
                <w:rFonts w:ascii="Times New Roman" w:hAnsi="Times New Roman" w:cs="Times New Roman"/>
              </w:rPr>
              <w:t>Осмислення та виправдання війни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74379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74379B">
              <w:rPr>
                <w:rFonts w:ascii="Times New Roman" w:hAnsi="Times New Roman" w:cs="Times New Roman"/>
                <w:lang w:val="uk-UA"/>
              </w:rPr>
              <w:t>и</w:t>
            </w:r>
            <w:r w:rsidRPr="0074379B">
              <w:rPr>
                <w:rFonts w:ascii="Times New Roman" w:hAnsi="Times New Roman" w:cs="Times New Roman"/>
                <w:lang w:val="ru-RU"/>
              </w:rPr>
              <w:t>”</w:t>
            </w:r>
            <w:r w:rsidRPr="0074379B">
              <w:rPr>
                <w:rFonts w:ascii="Times New Roman" w:hAnsi="Times New Roman" w:cs="Times New Roman"/>
                <w:lang w:val="uk-UA"/>
              </w:rPr>
              <w:t xml:space="preserve"> і </w:t>
            </w:r>
            <w:r w:rsidRPr="0074379B">
              <w:rPr>
                <w:rFonts w:ascii="Times New Roman" w:hAnsi="Times New Roman" w:cs="Times New Roman"/>
                <w:lang w:val="ru-RU"/>
              </w:rPr>
              <w:t>“</w:t>
            </w:r>
            <w:r w:rsidRPr="0074379B">
              <w:rPr>
                <w:rFonts w:ascii="Times New Roman" w:hAnsi="Times New Roman" w:cs="Times New Roman"/>
                <w:lang w:val="uk-UA"/>
              </w:rPr>
              <w:t>вони</w:t>
            </w:r>
            <w:r w:rsidRPr="0074379B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379B">
              <w:rPr>
                <w:rFonts w:ascii="Times New Roman" w:hAnsi="Times New Roman" w:cs="Times New Roman"/>
              </w:rPr>
              <w:t>Осмислення та виправдання війни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“Чому ми воюємо?”</w:t>
            </w:r>
          </w:p>
          <w:p w:rsid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379B">
              <w:rPr>
                <w:rFonts w:ascii="Times New Roman" w:hAnsi="Times New Roman" w:cs="Times New Roman"/>
              </w:rPr>
              <w:t>Культурна гегемонія за</w:t>
            </w:r>
            <w:r>
              <w:rPr>
                <w:rFonts w:ascii="Times New Roman" w:hAnsi="Times New Roman" w:cs="Times New Roman"/>
                <w:lang w:val="uk-UA"/>
              </w:rPr>
              <w:t xml:space="preserve"> Антоніо</w:t>
            </w:r>
            <w:r w:rsidRPr="0074379B">
              <w:rPr>
                <w:rFonts w:ascii="Times New Roman" w:hAnsi="Times New Roman" w:cs="Times New Roman"/>
              </w:rPr>
              <w:t xml:space="preserve"> Ґрамші. </w:t>
            </w:r>
          </w:p>
          <w:p w:rsidR="0074379B" w:rsidRPr="0074379B" w:rsidRDefault="0074379B" w:rsidP="0074379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379B">
              <w:rPr>
                <w:rFonts w:ascii="Times New Roman" w:hAnsi="Times New Roman" w:cs="Times New Roman"/>
              </w:rPr>
              <w:lastRenderedPageBreak/>
              <w:t>Франкфуртська школа та її вплив</w:t>
            </w:r>
            <w:r>
              <w:rPr>
                <w:rFonts w:ascii="Times New Roman" w:hAnsi="Times New Roman" w:cs="Times New Roman"/>
                <w:lang w:val="uk-UA"/>
              </w:rPr>
              <w:t xml:space="preserve"> на розвиток західного суспільства</w:t>
            </w:r>
            <w:r w:rsidRPr="0074379B">
              <w:rPr>
                <w:rFonts w:ascii="Times New Roman" w:hAnsi="Times New Roman" w:cs="Times New Roman"/>
              </w:rPr>
              <w:t xml:space="preserve"> як приклад реалізації культурної гегемонії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4379B" w:rsidRPr="0074379B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Інформаційна складова </w:t>
            </w:r>
            <w:r w:rsidRPr="007E7CE9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кольорової</w:t>
            </w:r>
            <w:r w:rsidRPr="007E7CE9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революції (на конкретному прикладі – крім українських революцій);</w:t>
            </w:r>
          </w:p>
          <w:p w:rsidR="007E7CE9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Маркетингов</w:t>
            </w:r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війн</w:t>
            </w:r>
            <w:r>
              <w:rPr>
                <w:rFonts w:ascii="Times New Roman" w:hAnsi="Times New Roman" w:cs="Times New Roman"/>
                <w:lang w:val="uk-UA"/>
              </w:rPr>
              <w:t>а як вид інформаційної війни;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379B" w:rsidRPr="007E7CE9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Інформаційне </w:t>
            </w:r>
            <w:r>
              <w:rPr>
                <w:rFonts w:ascii="Times New Roman" w:hAnsi="Times New Roman" w:cs="Times New Roman"/>
              </w:rPr>
              <w:t>протистояння у сфері комерції</w:t>
            </w:r>
            <w:r w:rsidR="0074379B" w:rsidRPr="007E7CE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(на конкретному прикладі);</w:t>
            </w:r>
          </w:p>
          <w:p w:rsidR="007E7CE9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7CE9">
              <w:rPr>
                <w:rFonts w:ascii="Times New Roman" w:hAnsi="Times New Roman" w:cs="Times New Roman"/>
              </w:rPr>
              <w:t xml:space="preserve">Сфера відпочинку як </w:t>
            </w:r>
            <w:r>
              <w:rPr>
                <w:rFonts w:ascii="Times New Roman" w:hAnsi="Times New Roman" w:cs="Times New Roman"/>
                <w:lang w:val="uk-UA"/>
              </w:rPr>
              <w:t>поле</w:t>
            </w:r>
            <w:r w:rsidRPr="007E7CE9">
              <w:rPr>
                <w:rFonts w:ascii="Times New Roman" w:hAnsi="Times New Roman" w:cs="Times New Roman"/>
              </w:rPr>
              <w:t xml:space="preserve"> для інформаційн</w:t>
            </w:r>
            <w:r>
              <w:rPr>
                <w:rFonts w:ascii="Times New Roman" w:hAnsi="Times New Roman" w:cs="Times New Roman"/>
              </w:rPr>
              <w:t>ого протистоянн</w:t>
            </w:r>
            <w:r>
              <w:rPr>
                <w:rFonts w:ascii="Times New Roman" w:hAnsi="Times New Roman" w:cs="Times New Roman"/>
                <w:lang w:val="uk-UA"/>
              </w:rPr>
              <w:t>ія;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CE9" w:rsidRPr="007E7CE9" w:rsidRDefault="007E7CE9" w:rsidP="007E7CE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Ідеологічні посили у се</w:t>
            </w:r>
            <w:r>
              <w:rPr>
                <w:rFonts w:ascii="Times New Roman" w:hAnsi="Times New Roman" w:cs="Times New Roman"/>
              </w:rPr>
              <w:t>ріал</w:t>
            </w:r>
            <w:r>
              <w:rPr>
                <w:rFonts w:ascii="Times New Roman" w:hAnsi="Times New Roman" w:cs="Times New Roman"/>
                <w:lang w:val="uk-UA"/>
              </w:rPr>
              <w:t>ах (на конкретному прикладі).</w:t>
            </w:r>
          </w:p>
          <w:p w:rsidR="00EA064D" w:rsidRPr="003F39EA" w:rsidRDefault="00EA064D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EA064D" w:rsidRPr="008642B8" w:rsidTr="00EA064D">
        <w:trPr>
          <w:trHeight w:val="357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4D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2B8">
              <w:rPr>
                <w:rFonts w:ascii="Times New Roman" w:eastAsia="Times New Roman" w:hAnsi="Times New Roman" w:cs="Times New Roman"/>
                <w:bCs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З метою отримання зворотнього зв’язку від студентів, наприкінці курсу буле роздано анкету-оцінку оцінювання якості курсу: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Які теми курсу видалися Вам найбільш та найменш корисними?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 xml:space="preserve">Які теми виявилися найбільш та найменш цікавими? 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Які теми висвітлені недостатньо?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Що найбільше запам’яталося?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Зауваження до програми курсу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Зауваження до лектора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Зауваження до організації та проведення практичних занять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Яка теоретична і практична користь від прослуханого курсу особисто для Вас?</w:t>
            </w:r>
          </w:p>
          <w:p w:rsidR="00EA064D" w:rsidRPr="008642B8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Конкретні поради та побажання щодо вдосконалення програми курсу</w:t>
            </w:r>
          </w:p>
          <w:p w:rsidR="00EA064D" w:rsidRDefault="00EA064D" w:rsidP="00EA0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2B8">
              <w:rPr>
                <w:rFonts w:ascii="Times New Roman" w:eastAsia="Times New Roman" w:hAnsi="Times New Roman" w:cs="Times New Roman"/>
              </w:rPr>
              <w:t>Конкретні поради та побажання щодо вдосконалення роботи викладачів, залучених до викладання курсу.</w:t>
            </w:r>
          </w:p>
          <w:p w:rsidR="00EA064D" w:rsidRDefault="00EA064D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2B8" w:rsidRPr="008642B8" w:rsidRDefault="008642B8" w:rsidP="008642B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642B8" w:rsidRPr="008642B8" w:rsidRDefault="008642B8" w:rsidP="008642B8">
      <w:pPr>
        <w:spacing w:after="200" w:line="276" w:lineRule="auto"/>
        <w:rPr>
          <w:rFonts w:ascii="Garamond" w:eastAsia="Times New Roman" w:hAnsi="Garamond" w:cs="Garamond"/>
          <w:sz w:val="28"/>
          <w:szCs w:val="28"/>
          <w:lang w:val="ru-RU"/>
        </w:rPr>
      </w:pPr>
    </w:p>
    <w:p w:rsidR="008642B8" w:rsidRPr="008642B8" w:rsidRDefault="008642B8" w:rsidP="00864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42B8" w:rsidRPr="008642B8" w:rsidRDefault="008642B8" w:rsidP="00864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СХЕМА КУРСУ</w:t>
      </w:r>
    </w:p>
    <w:p w:rsidR="008642B8" w:rsidRPr="008642B8" w:rsidRDefault="008642B8" w:rsidP="008642B8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СХЕМА</w:t>
      </w:r>
      <w:r w:rsidRPr="008642B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КУРСУ,</w:t>
      </w:r>
      <w:r w:rsidRPr="008642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АБО</w:t>
      </w:r>
      <w:r w:rsidRPr="008642B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СТРУКТУРА</w:t>
      </w:r>
      <w:r w:rsidRPr="008642B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НАВЧАЛЬНОЇ</w:t>
      </w:r>
      <w:r w:rsidRPr="008642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ДИСЦИПЛІНИ</w:t>
      </w:r>
      <w:r w:rsidRPr="008642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86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«МАЙБУТНЄ МЕДІА»</w:t>
      </w:r>
    </w:p>
    <w:p w:rsidR="008642B8" w:rsidRPr="008642B8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852"/>
        <w:gridCol w:w="4081"/>
        <w:gridCol w:w="2410"/>
        <w:gridCol w:w="850"/>
      </w:tblGrid>
      <w:tr w:rsidR="008642B8" w:rsidRPr="008642B8" w:rsidTr="008642B8">
        <w:tc>
          <w:tcPr>
            <w:tcW w:w="542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Тиж.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642B8">
              <w:rPr>
                <w:rFonts w:ascii="Times New Roman" w:eastAsia="Calibri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дата /</w:t>
            </w:r>
            <w:r w:rsidRPr="008642B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721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Тема,</w:t>
            </w:r>
            <w:r w:rsidRPr="008642B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план,</w:t>
            </w:r>
            <w:r w:rsidRPr="008642B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короткі</w:t>
            </w:r>
            <w:r w:rsidRPr="008642B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тези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  <w:r w:rsidRPr="008642B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діяль</w:t>
            </w:r>
            <w:r w:rsidRPr="008642B8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8642B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ності</w:t>
            </w:r>
            <w:r w:rsidRPr="008642B8">
              <w:rPr>
                <w:rFonts w:ascii="Times New Roman" w:eastAsia="Calibri" w:hAnsi="Times New Roman" w:cs="Times New Roman"/>
                <w:spacing w:val="-47"/>
                <w:sz w:val="20"/>
                <w:szCs w:val="20"/>
              </w:rPr>
              <w:t xml:space="preserve"> </w:t>
            </w:r>
          </w:p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30" w:lineRule="atLeas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2410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Завдання,</w:t>
            </w:r>
            <w:r w:rsidRPr="008642B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642B8" w:rsidRPr="008642B8" w:rsidRDefault="008642B8" w:rsidP="008642B8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sz w:val="18"/>
                <w:szCs w:val="18"/>
              </w:rPr>
              <w:t>Термін</w:t>
            </w:r>
            <w:r w:rsidRPr="008642B8">
              <w:rPr>
                <w:rFonts w:ascii="Times New Roman" w:eastAsia="Calibri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8642B8">
              <w:rPr>
                <w:rFonts w:ascii="Times New Roman" w:eastAsia="Calibri" w:hAnsi="Times New Roman" w:cs="Times New Roman"/>
                <w:sz w:val="18"/>
                <w:szCs w:val="18"/>
              </w:rPr>
              <w:t>вико</w:t>
            </w:r>
            <w:r w:rsidRPr="008642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8642B8">
              <w:rPr>
                <w:rFonts w:ascii="Times New Roman" w:eastAsia="Calibri" w:hAnsi="Times New Roman" w:cs="Times New Roman"/>
                <w:sz w:val="18"/>
                <w:szCs w:val="18"/>
              </w:rPr>
              <w:t>нання</w:t>
            </w:r>
          </w:p>
        </w:tc>
      </w:tr>
      <w:tr w:rsidR="008642B8" w:rsidRPr="008642B8" w:rsidTr="008642B8">
        <w:tc>
          <w:tcPr>
            <w:tcW w:w="10456" w:type="dxa"/>
            <w:gridSpan w:val="6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Змістовий модуль 1</w:t>
            </w:r>
          </w:p>
          <w:p w:rsidR="008642B8" w:rsidRPr="008642B8" w:rsidRDefault="008642B8" w:rsidP="0068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8C27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Інформаційна війна в теоретичному та історичному розрізах</w:t>
            </w:r>
            <w:r w:rsidRPr="008642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8642B8" w:rsidTr="008642B8">
        <w:trPr>
          <w:trHeight w:val="156"/>
        </w:trPr>
        <w:tc>
          <w:tcPr>
            <w:tcW w:w="542" w:type="dxa"/>
            <w:shd w:val="clear" w:color="auto" w:fill="auto"/>
          </w:tcPr>
          <w:p w:rsidR="008642B8" w:rsidRPr="008642B8" w:rsidRDefault="008642B8" w:rsidP="0068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1-й тижд. </w:t>
            </w:r>
            <w:r w:rsidR="006867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год.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C27BD" w:rsidRDefault="008C27BD" w:rsidP="0068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642B8" w:rsidRPr="008C27BD" w:rsidRDefault="0068674D" w:rsidP="008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8C27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8C27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год.</w:t>
            </w:r>
          </w:p>
          <w:p w:rsidR="008642B8" w:rsidRPr="0068674D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:rsidR="0068674D" w:rsidRDefault="008642B8" w:rsidP="0068674D">
            <w:pPr>
              <w:pStyle w:val="TableParagraph"/>
            </w:pPr>
            <w:r w:rsidRPr="008642B8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Тема 1.</w:t>
            </w:r>
            <w:r w:rsidRPr="008642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8674D">
              <w:t xml:space="preserve">Поняття інформаційної війни. Медіасфера як платформа ведення </w:t>
            </w:r>
            <w:r w:rsidR="0068674D" w:rsidRPr="006B7B50">
              <w:t>війни.</w:t>
            </w:r>
            <w:r w:rsidR="0068674D">
              <w:t xml:space="preserve"> Інфораційна війна </w:t>
            </w:r>
            <w:r w:rsidR="0068674D" w:rsidRPr="006B7B50">
              <w:t xml:space="preserve">від </w:t>
            </w:r>
            <w:r w:rsidR="0068674D">
              <w:t>найдавніших часів до наших днів</w:t>
            </w:r>
          </w:p>
          <w:p w:rsidR="0068674D" w:rsidRDefault="0068674D" w:rsidP="0068674D">
            <w:pPr>
              <w:pStyle w:val="TableParagraph"/>
              <w:rPr>
                <w:color w:val="FF0000"/>
              </w:rPr>
            </w:pPr>
          </w:p>
          <w:p w:rsidR="0068674D" w:rsidRDefault="0068674D" w:rsidP="0068674D">
            <w:pPr>
              <w:pStyle w:val="TableParagraph"/>
              <w:rPr>
                <w:color w:val="FF0000"/>
              </w:rPr>
            </w:pPr>
          </w:p>
          <w:p w:rsidR="008642B8" w:rsidRPr="008C27BD" w:rsidRDefault="00974D43" w:rsidP="00AB7CEE">
            <w:pPr>
              <w:pStyle w:val="TableParagraph"/>
            </w:pPr>
            <w:r>
              <w:t>І</w:t>
            </w:r>
            <w:r w:rsidR="0068674D" w:rsidRPr="008C27BD">
              <w:t>нформаційні операції минуло</w:t>
            </w:r>
            <w:r w:rsidR="00AB7CEE">
              <w:t xml:space="preserve">го у світлі </w:t>
            </w:r>
            <w:r w:rsidR="00AB7CEE">
              <w:lastRenderedPageBreak/>
              <w:t>сьогоднішнього дня. Презентація та обговорення студентських робіт. Актуальність інформаційних операцій минулого (дискусія)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C27BD" w:rsidRDefault="008C27BD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C27BD" w:rsidRPr="008642B8" w:rsidRDefault="008C27BD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</w:tcPr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lastRenderedPageBreak/>
              <w:t xml:space="preserve">Deijl Aarnoud R van der. 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Protest or Propaganda: War in the Old Testament Book of Kings and in Contemporaneous Ancient Near Eastern Texts. BRILL, 2008.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Dembskey Evan. Information warfare in Greece and Rome: Cryptography and Steganography // Proceedings of  the 9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European Conference on i-Warfare and Security, 2010.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Everett Hunt. Ancient rhetoric and modern propaganda, Quarterly Journal of Speech, 1951, 37:2, 157-160.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EA0D73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⊘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genhaven Jesper. Prophecy and propaganda aspects of political and religious reasoning in Israel and the ancient near east, Scandinavian Journal of the Old Testament, 1989, 3:1, 125-141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Jones Andrew, Jones Andy, Kovacich Gerald L, Luzwick Perry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G. Global </w:t>
            </w: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Information Warfare: How Businesses, Governments, and Others Achieve Objectives and Attain Competitive Advantages. Taylor &amp; Francis, 2002.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Liverani Mario. "Untruthful Steles": Propaganda and Reliability in Ancient Mesopotamia // Sarah Melville, Alice Slotsky (edited by). Opening the Tablet Box: Near Eastern Studies in Honor of Benjamin R. Foster. BRILL, 2010, P. 229 – 244.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Thomson Olivier. Historia propagandy. Warszawa: Książka i Wiedza, 2001.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</w:rPr>
              <w:t>Лі Сінь, Лі Сянь, Лю Лю. 36 Стратагем. Харків: Фоліо, 2016.</w:t>
            </w:r>
          </w:p>
          <w:p w:rsidR="00EA0D73" w:rsidRPr="00EA0D73" w:rsidRDefault="00EA0D73" w:rsidP="00EA0D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D73">
              <w:rPr>
                <w:rFonts w:ascii="Times New Roman" w:eastAsia="Calibri" w:hAnsi="Times New Roman" w:cs="Times New Roman"/>
                <w:sz w:val="20"/>
                <w:szCs w:val="20"/>
              </w:rPr>
              <w:t>Сунь-дзи. Мистецтво війни. Львів: Видавництво Старого Лева, 2015.</w:t>
            </w:r>
          </w:p>
          <w:p w:rsidR="006F67B5" w:rsidRPr="00914DC5" w:rsidRDefault="006F67B5" w:rsidP="006F6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642B8" w:rsidRPr="00974D43" w:rsidRDefault="005349A8" w:rsidP="00606F8E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</w:rPr>
            </w:pPr>
            <w:r w:rsidRPr="00974D43">
              <w:rPr>
                <w:rFonts w:asciiTheme="majorBidi" w:eastAsia="Calibri" w:hAnsiTheme="majorBidi" w:cstheme="majorBidi"/>
                <w:color w:val="000000"/>
              </w:rPr>
              <w:lastRenderedPageBreak/>
              <w:t>Опрацювати літературу до семінару</w:t>
            </w:r>
            <w:r w:rsidR="002769D4" w:rsidRPr="00974D43">
              <w:rPr>
                <w:rFonts w:asciiTheme="majorBidi" w:eastAsia="Calibri" w:hAnsiTheme="majorBidi" w:cstheme="majorBidi"/>
                <w:color w:val="000000"/>
              </w:rPr>
              <w:t>, розглянути</w:t>
            </w:r>
            <w:r w:rsidR="009954F0">
              <w:rPr>
                <w:rFonts w:asciiTheme="majorBidi" w:eastAsia="Calibri" w:hAnsiTheme="majorBidi" w:cstheme="majorBidi"/>
                <w:color w:val="000000"/>
              </w:rPr>
              <w:t xml:space="preserve"> знакові</w:t>
            </w:r>
            <w:r w:rsidR="002769D4" w:rsidRPr="00974D43">
              <w:rPr>
                <w:rFonts w:asciiTheme="majorBidi" w:eastAsia="Calibri" w:hAnsiTheme="majorBidi" w:cstheme="majorBidi"/>
                <w:color w:val="000000"/>
              </w:rPr>
              <w:t xml:space="preserve"> приклади інформаційних оп</w:t>
            </w:r>
            <w:r w:rsidR="00974D43" w:rsidRPr="00974D43">
              <w:rPr>
                <w:rFonts w:asciiTheme="majorBidi" w:eastAsia="Calibri" w:hAnsiTheme="majorBidi" w:cstheme="majorBidi"/>
                <w:color w:val="000000"/>
              </w:rPr>
              <w:t>ера</w:t>
            </w:r>
            <w:r w:rsidR="002769D4" w:rsidRPr="00974D43">
              <w:rPr>
                <w:rFonts w:asciiTheme="majorBidi" w:eastAsia="Calibri" w:hAnsiTheme="majorBidi" w:cstheme="majorBidi"/>
                <w:color w:val="000000"/>
              </w:rPr>
              <w:t>цій</w:t>
            </w:r>
            <w:r w:rsidR="009954F0">
              <w:rPr>
                <w:rFonts w:asciiTheme="majorBidi" w:eastAsia="Calibri" w:hAnsiTheme="majorBidi" w:cstheme="majorBidi"/>
                <w:color w:val="000000"/>
              </w:rPr>
              <w:t xml:space="preserve"> та </w:t>
            </w:r>
            <w:r w:rsidR="009954F0" w:rsidRPr="006F67B5">
              <w:rPr>
                <w:rFonts w:asciiTheme="majorBidi" w:eastAsia="Calibri" w:hAnsiTheme="majorBidi" w:cstheme="majorBidi"/>
                <w:color w:val="000000"/>
                <w:lang w:val="en-US"/>
              </w:rPr>
              <w:t>PR</w:t>
            </w:r>
            <w:r w:rsidR="009954F0" w:rsidRPr="00AF291B">
              <w:rPr>
                <w:rFonts w:asciiTheme="majorBidi" w:eastAsia="Calibri" w:hAnsiTheme="majorBidi" w:cstheme="majorBidi"/>
                <w:color w:val="000000"/>
              </w:rPr>
              <w:t>-</w:t>
            </w:r>
            <w:r w:rsidR="009954F0">
              <w:rPr>
                <w:rFonts w:asciiTheme="majorBidi" w:eastAsia="Calibri" w:hAnsiTheme="majorBidi" w:cstheme="majorBidi"/>
                <w:color w:val="000000"/>
              </w:rPr>
              <w:t xml:space="preserve">стратегій: </w:t>
            </w:r>
            <w:r w:rsidR="00712CE1">
              <w:rPr>
                <w:rFonts w:asciiTheme="majorBidi" w:eastAsia="Calibri" w:hAnsiTheme="majorBidi" w:cstheme="majorBidi"/>
                <w:color w:val="000000"/>
              </w:rPr>
              <w:t xml:space="preserve">Хамурапі, </w:t>
            </w:r>
            <w:r w:rsidR="00974D43" w:rsidRPr="00974D43">
              <w:rPr>
                <w:rFonts w:asciiTheme="majorBidi" w:hAnsiTheme="majorBidi" w:cstheme="majorBidi"/>
              </w:rPr>
              <w:t>Сунь-цзи, фараон Нармер</w:t>
            </w:r>
            <w:r w:rsidR="00974D43">
              <w:rPr>
                <w:rFonts w:asciiTheme="majorBidi" w:hAnsiTheme="majorBidi" w:cstheme="majorBidi"/>
              </w:rPr>
              <w:t>,</w:t>
            </w:r>
            <w:r w:rsidR="00712CE1" w:rsidRPr="00914DC5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712CE1">
              <w:rPr>
                <w:rFonts w:asciiTheme="majorBidi" w:hAnsiTheme="majorBidi" w:cstheme="majorBidi"/>
              </w:rPr>
              <w:t xml:space="preserve">фараон Рамзес </w:t>
            </w:r>
            <w:r w:rsidR="00712CE1" w:rsidRPr="006F67B5">
              <w:rPr>
                <w:rFonts w:asciiTheme="majorBidi" w:hAnsiTheme="majorBidi" w:cstheme="majorBidi"/>
                <w:lang w:val="en-US"/>
              </w:rPr>
              <w:t>II</w:t>
            </w:r>
            <w:r w:rsidR="00712CE1" w:rsidRPr="00914DC5">
              <w:rPr>
                <w:rFonts w:asciiTheme="majorBidi" w:hAnsiTheme="majorBidi" w:cstheme="majorBidi"/>
                <w:lang w:val="ru-RU"/>
              </w:rPr>
              <w:t xml:space="preserve">, </w:t>
            </w:r>
            <w:r w:rsidR="00712CE1">
              <w:rPr>
                <w:rFonts w:asciiTheme="majorBidi" w:hAnsiTheme="majorBidi" w:cstheme="majorBidi"/>
              </w:rPr>
              <w:t>Перікл</w:t>
            </w:r>
            <w:r w:rsidR="00974D43">
              <w:rPr>
                <w:rFonts w:asciiTheme="majorBidi" w:hAnsiTheme="majorBidi" w:cstheme="majorBidi"/>
              </w:rPr>
              <w:t>,</w:t>
            </w:r>
            <w:r w:rsidR="00712CE1">
              <w:rPr>
                <w:rFonts w:asciiTheme="majorBidi" w:hAnsiTheme="majorBidi" w:cstheme="majorBidi"/>
              </w:rPr>
              <w:t xml:space="preserve"> Окавіан Авґуст,</w:t>
            </w:r>
            <w:r w:rsidR="00974D43">
              <w:rPr>
                <w:rFonts w:asciiTheme="majorBidi" w:hAnsiTheme="majorBidi" w:cstheme="majorBidi"/>
              </w:rPr>
              <w:t xml:space="preserve"> </w:t>
            </w:r>
            <w:r w:rsidR="00974D43" w:rsidRPr="00974D43">
              <w:rPr>
                <w:rFonts w:asciiTheme="majorBidi" w:hAnsiTheme="majorBidi" w:cstheme="majorBidi"/>
              </w:rPr>
              <w:t>Чінгісхан</w:t>
            </w:r>
            <w:r w:rsidR="00974D43">
              <w:rPr>
                <w:rFonts w:asciiTheme="majorBidi" w:hAnsiTheme="majorBidi" w:cstheme="majorBidi"/>
              </w:rPr>
              <w:t xml:space="preserve"> та ін.</w:t>
            </w:r>
            <w:r w:rsidR="009954F0">
              <w:rPr>
                <w:rFonts w:asciiTheme="majorBidi" w:eastAsia="Calibri" w:hAnsiTheme="majorBidi" w:cstheme="majorBidi"/>
                <w:color w:val="000000"/>
              </w:rPr>
              <w:t xml:space="preserve"> Класифікувати </w:t>
            </w:r>
            <w:r w:rsidR="00712CE1">
              <w:rPr>
                <w:rFonts w:asciiTheme="majorBidi" w:eastAsia="Calibri" w:hAnsiTheme="majorBidi" w:cstheme="majorBidi"/>
                <w:color w:val="000000"/>
              </w:rPr>
              <w:t>інформаційні операції</w:t>
            </w:r>
            <w:r w:rsidR="00AB7CEE">
              <w:rPr>
                <w:rFonts w:asciiTheme="majorBidi" w:eastAsia="Calibri" w:hAnsiTheme="majorBidi" w:cstheme="majorBidi"/>
                <w:color w:val="000000"/>
              </w:rPr>
              <w:t xml:space="preserve"> та оформити візуалізацію</w:t>
            </w:r>
            <w:r w:rsidR="009954F0">
              <w:rPr>
                <w:rFonts w:asciiTheme="majorBidi" w:eastAsia="Calibri" w:hAnsiTheme="majorBidi" w:cstheme="majorBidi"/>
                <w:color w:val="000000"/>
              </w:rPr>
              <w:t>.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тижд.</w:t>
            </w:r>
          </w:p>
        </w:tc>
      </w:tr>
      <w:tr w:rsidR="008642B8" w:rsidRPr="008642B8" w:rsidTr="00606F8E">
        <w:trPr>
          <w:trHeight w:val="1557"/>
        </w:trPr>
        <w:tc>
          <w:tcPr>
            <w:tcW w:w="542" w:type="dxa"/>
            <w:shd w:val="clear" w:color="auto" w:fill="auto"/>
          </w:tcPr>
          <w:p w:rsidR="008642B8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  <w:p w:rsidR="008C27BD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Pr="00606F8E" w:rsidRDefault="008C27BD" w:rsidP="0060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1721" w:type="dxa"/>
            <w:shd w:val="clear" w:color="auto" w:fill="auto"/>
          </w:tcPr>
          <w:p w:rsidR="008C27BD" w:rsidRDefault="008642B8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</w:t>
            </w: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27BD" w:rsidRPr="008C27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Фізична, інформаційна, віртуальна війна. Фізична війна та її інформаційний супровід. </w:t>
            </w: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P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27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Принципи пропаганди під час війни за Артуром Понсобі</w:t>
            </w:r>
          </w:p>
          <w:p w:rsidR="008C27BD" w:rsidRDefault="008C27BD" w:rsidP="00766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27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Досвід XX століття: Перша і Друга світові війни, та їхні інформаційні фронти</w:t>
            </w:r>
            <w:r w:rsidR="0076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Презентація студентських робіт. Підведення підсумків та формулювання загальних принципів інформаціійної роботи під час війни в реаліях </w:t>
            </w:r>
            <w:r w:rsidR="0076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="00766547" w:rsidRPr="0076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.століття</w:t>
            </w:r>
          </w:p>
          <w:p w:rsidR="00766547" w:rsidRPr="008642B8" w:rsidRDefault="00766547" w:rsidP="00766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Лекція</w:t>
            </w:r>
          </w:p>
          <w:p w:rsid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Pr="008642B8" w:rsidRDefault="004B0ED4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</w:tc>
        <w:tc>
          <w:tcPr>
            <w:tcW w:w="4081" w:type="dxa"/>
            <w:shd w:val="clear" w:color="auto" w:fill="auto"/>
          </w:tcPr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Brydon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Steven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American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Propaganda from the Spanish-American War to Iraq: War Stories. Lexington Books, 2021.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Demm, Eberhard. Censorship and Propaganda in World War I: A Comprehensive History. Bloomsbury Publishing, 2019.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Enemy Images in War Propaganda. 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Cambridge Scholars Press Limited, 2012.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Lasswell Harold. Propaganda technique in the world war. MIT Press, 1971.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Ponsonby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Arthur. Falsehood in War-Time. London : George Allen and Unwin, 1928.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</w:rPr>
              <w:t>The Justification of War and International Order: From Past to Present. Oxford University Press, 2021.</w:t>
            </w:r>
          </w:p>
          <w:p w:rsidR="00606F8E" w:rsidRPr="00606F8E" w:rsidRDefault="00606F8E" w:rsidP="00606F8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6F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Welch, David. World War II Propaganda: Analyzing the Art of Persuasion During Wartime. ABC-CLIO, 2017.</w:t>
            </w:r>
          </w:p>
        </w:tc>
        <w:tc>
          <w:tcPr>
            <w:tcW w:w="2410" w:type="dxa"/>
            <w:shd w:val="clear" w:color="auto" w:fill="auto"/>
          </w:tcPr>
          <w:p w:rsidR="008642B8" w:rsidRPr="00606F8E" w:rsidRDefault="00606F8E" w:rsidP="00766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Обрати країну (Німеччина у Першій світовій, Великобританія у Першій світовій, СССР у Другій світовій, Японія у Другій світовій та ін), на конкретних прикладах окреслити </w:t>
            </w:r>
            <w:r w:rsidR="0076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ведення війни у фізичній, інформаційній та віртуальній сферах (можлива робота у парах).</w:t>
            </w:r>
          </w:p>
        </w:tc>
        <w:tc>
          <w:tcPr>
            <w:tcW w:w="850" w:type="dxa"/>
            <w:shd w:val="clear" w:color="auto" w:fill="auto"/>
          </w:tcPr>
          <w:p w:rsidR="008642B8" w:rsidRPr="008642B8" w:rsidRDefault="008642B8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тижд.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7BD" w:rsidRPr="008642B8" w:rsidTr="008C27BD">
        <w:trPr>
          <w:trHeight w:val="1415"/>
        </w:trPr>
        <w:tc>
          <w:tcPr>
            <w:tcW w:w="542" w:type="dxa"/>
            <w:shd w:val="clear" w:color="auto" w:fill="auto"/>
          </w:tcPr>
          <w:p w:rsidR="008C27BD" w:rsidRPr="00914DC5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5-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2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  <w:p w:rsidR="008C27BD" w:rsidRPr="00914DC5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Pr="00914DC5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Pr="00914DC5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Pr="00914DC5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C27BD" w:rsidRPr="00606F8E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6-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Pr="00606F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2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</w:tc>
        <w:tc>
          <w:tcPr>
            <w:tcW w:w="1721" w:type="dxa"/>
            <w:shd w:val="clear" w:color="auto" w:fill="auto"/>
          </w:tcPr>
          <w:p w:rsidR="008C27BD" w:rsidRP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Тема 3</w:t>
            </w: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27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Фейки, меми, інтерпретації, маніпуляції, наративи</w:t>
            </w: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B0ED4" w:rsidRDefault="004B0ED4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B0ED4" w:rsidRDefault="004B0ED4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C27BD" w:rsidRPr="004B0ED4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</w:rPr>
              <w:t>Холодна війна як зразок інформаційної війни</w:t>
            </w:r>
            <w:r w:rsidR="004B0ED4" w:rsidRPr="004B0ED4">
              <w:rPr>
                <w:rFonts w:ascii="Times New Roman" w:eastAsia="Calibri" w:hAnsi="Times New Roman" w:cs="Times New Roman"/>
                <w:color w:val="000000"/>
              </w:rPr>
              <w:t xml:space="preserve"> (гра-</w:t>
            </w:r>
            <w:r w:rsidR="004B0ED4" w:rsidRPr="004B0ED4">
              <w:rPr>
                <w:rFonts w:ascii="Times New Roman" w:eastAsia="Calibri" w:hAnsi="Times New Roman" w:cs="Times New Roman"/>
                <w:color w:val="000000"/>
              </w:rPr>
              <w:lastRenderedPageBreak/>
              <w:t>симуляція</w:t>
            </w:r>
            <w:r w:rsidR="004B0ED4">
              <w:rPr>
                <w:rFonts w:ascii="Times New Roman" w:eastAsia="Calibri" w:hAnsi="Times New Roman" w:cs="Times New Roman"/>
                <w:color w:val="000000"/>
              </w:rPr>
              <w:t xml:space="preserve"> із використанням напрацювань із домашнього завдання). Підведення підсумків гри.</w:t>
            </w:r>
          </w:p>
        </w:tc>
        <w:tc>
          <w:tcPr>
            <w:tcW w:w="852" w:type="dxa"/>
            <w:shd w:val="clear" w:color="auto" w:fill="auto"/>
          </w:tcPr>
          <w:p w:rsidR="008C27BD" w:rsidRDefault="008C27BD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Default="004B0ED4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0ED4" w:rsidRPr="008642B8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Семінар </w:t>
            </w:r>
          </w:p>
        </w:tc>
        <w:tc>
          <w:tcPr>
            <w:tcW w:w="4081" w:type="dxa"/>
            <w:shd w:val="clear" w:color="auto" w:fill="auto"/>
          </w:tcPr>
          <w:p w:rsidR="00766547" w:rsidRPr="00766547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Theme="majorBidi" w:eastAsia="Calibri" w:hAnsiTheme="majorBidi" w:cstheme="majorBidi"/>
                <w:lang w:val="en-US"/>
              </w:rPr>
            </w:pPr>
            <w:r w:rsidRPr="00766547">
              <w:rPr>
                <w:rFonts w:asciiTheme="majorBidi" w:eastAsia="Calibri" w:hAnsiTheme="majorBidi" w:cstheme="majorBidi"/>
                <w:lang w:val="en-US"/>
              </w:rPr>
              <w:t>Joan Donovan, Emily Dreyfuss, Brian Friedberg</w:t>
            </w:r>
          </w:p>
          <w:p w:rsidR="00766547" w:rsidRPr="00766547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Theme="majorBidi" w:hAnsiTheme="majorBidi" w:cstheme="majorBidi"/>
                <w:shd w:val="clear" w:color="auto" w:fill="FFFFFF"/>
                <w:lang w:val="en-US"/>
              </w:rPr>
            </w:pPr>
            <w:r w:rsidRPr="00766547">
              <w:rPr>
                <w:rFonts w:asciiTheme="majorBidi" w:eastAsia="Calibri" w:hAnsiTheme="majorBidi" w:cstheme="majorBidi"/>
                <w:lang w:val="en-US"/>
              </w:rPr>
              <w:t xml:space="preserve">Meme Wars: The Untold Story of the Online Battles Upending Democracy in America. </w:t>
            </w:r>
            <w:r w:rsidRPr="00766547">
              <w:rPr>
                <w:rFonts w:asciiTheme="majorBidi" w:hAnsiTheme="majorBidi" w:cstheme="majorBidi"/>
                <w:shd w:val="clear" w:color="auto" w:fill="FFFFFF"/>
              </w:rPr>
              <w:t>Bloomsbury Publishing USA, 2022</w:t>
            </w:r>
            <w:r w:rsidRPr="00766547">
              <w:rPr>
                <w:rFonts w:asciiTheme="majorBidi" w:hAnsiTheme="majorBidi" w:cstheme="majorBidi"/>
                <w:shd w:val="clear" w:color="auto" w:fill="FFFFFF"/>
                <w:lang w:val="en-US"/>
              </w:rPr>
              <w:t>.</w:t>
            </w:r>
          </w:p>
          <w:p w:rsidR="00766547" w:rsidRPr="00766547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Theme="majorBidi" w:eastAsia="Calibri" w:hAnsiTheme="majorBidi" w:cstheme="majorBidi"/>
              </w:rPr>
            </w:pPr>
            <w:r w:rsidRPr="00766547">
              <w:rPr>
                <w:rFonts w:asciiTheme="majorBidi" w:eastAsia="Calibri" w:hAnsiTheme="majorBidi" w:cstheme="majorBidi"/>
              </w:rPr>
              <w:t>Rawnsley, Gary D.. Cold-War Propaganda in the 1950s. Великобритания: Palgrave Macmillan UK, 2016.</w:t>
            </w:r>
          </w:p>
          <w:p w:rsidR="00766547" w:rsidRPr="00766547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SILVA, Guilherme Ghisoni da. Memes war: the political use of pictures in Brazil 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2019. Philósophos, Goiânia, v. 25, n. 2, p. 227-285</w:t>
            </w:r>
          </w:p>
          <w:p w:rsidR="00766547" w:rsidRPr="00766547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Thomas Paterson &amp; Lauren Hanley (2020) Political warfare in the digital age: cyber subversion, information operations and ‘deep fakes’, Australian Journal of International Affairs, 74:4, 439-454</w:t>
            </w:r>
          </w:p>
          <w:p w:rsidR="00C87FBE" w:rsidRDefault="00766547" w:rsidP="0076654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DC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Мейер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4DC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Робінсон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Похмурі висновки найбільшого дослідження 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fake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news</w:t>
            </w:r>
            <w:r w:rsidRPr="00766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// Листи до приятелів, 2018, </w:t>
            </w:r>
            <w:hyperlink r:id="rId9" w:history="1">
              <w:r w:rsidRPr="00AC44DD">
                <w:rPr>
                  <w:rStyle w:val="a4"/>
                  <w:rFonts w:ascii="Times New Roman" w:eastAsia="Calibri" w:hAnsi="Times New Roman"/>
                  <w:sz w:val="20"/>
                  <w:szCs w:val="20"/>
                </w:rPr>
                <w:t>https://lysty.net.ua/fake-news/</w:t>
              </w:r>
            </w:hyperlink>
          </w:p>
          <w:p w:rsidR="00313AC3" w:rsidRPr="00313AC3" w:rsidRDefault="00313AC3" w:rsidP="00313AC3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AC3">
              <w:rPr>
                <w:rFonts w:ascii="Times New Roman" w:eastAsia="Calibri" w:hAnsi="Times New Roman" w:cs="Times New Roman"/>
                <w:sz w:val="20"/>
                <w:szCs w:val="20"/>
              </w:rPr>
              <w:t>Почепцов Георгий Пропаганда 2.0. Харьков: Фолио, 2018.</w:t>
            </w:r>
          </w:p>
          <w:p w:rsidR="00766547" w:rsidRDefault="00313AC3" w:rsidP="00313AC3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AC3">
              <w:rPr>
                <w:rFonts w:ascii="Times New Roman" w:eastAsia="Calibri" w:hAnsi="Times New Roman" w:cs="Times New Roman"/>
                <w:sz w:val="20"/>
                <w:szCs w:val="20"/>
              </w:rPr>
              <w:t>Почепцов Георгий. Виртуальные войны. Фейки. Харьков: Фолио, 2019.</w:t>
            </w:r>
          </w:p>
          <w:p w:rsidR="00313AC3" w:rsidRPr="00766547" w:rsidRDefault="00313AC3" w:rsidP="00766547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66547" w:rsidRPr="008C27BD" w:rsidRDefault="00766547" w:rsidP="00766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Група ділиться на дві команди. Команда №1 та Команда №2 готують ключові ф</w:t>
            </w:r>
            <w:r w:rsidRPr="008C27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ейки, меми, інтерпретації, маніпуляції, наративи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Соцтабору та </w:t>
            </w:r>
            <w:r w:rsidR="004B0E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капіталістичних країн відповідно.</w:t>
            </w:r>
          </w:p>
          <w:p w:rsidR="008C27BD" w:rsidRPr="008642B8" w:rsidRDefault="008C27BD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25F3" w:rsidRPr="008642B8" w:rsidRDefault="006525F3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тижд.</w:t>
            </w:r>
          </w:p>
          <w:p w:rsidR="008C27BD" w:rsidRPr="008642B8" w:rsidRDefault="008C27BD" w:rsidP="00686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8642B8" w:rsidTr="008642B8">
        <w:trPr>
          <w:trHeight w:val="711"/>
        </w:trPr>
        <w:tc>
          <w:tcPr>
            <w:tcW w:w="10456" w:type="dxa"/>
            <w:gridSpan w:val="6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Змістовий модуль 2</w:t>
            </w:r>
          </w:p>
          <w:p w:rsidR="008642B8" w:rsidRPr="008642B8" w:rsidRDefault="008642B8" w:rsidP="008C2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8C27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Інформаційні війни сучасності</w:t>
            </w:r>
            <w:r w:rsidRPr="008642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642B8" w:rsidRPr="008642B8" w:rsidRDefault="008642B8" w:rsidP="00864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3E1C9B" w:rsidTr="008642B8">
        <w:trPr>
          <w:trHeight w:val="150"/>
        </w:trPr>
        <w:tc>
          <w:tcPr>
            <w:tcW w:w="542" w:type="dxa"/>
            <w:shd w:val="clear" w:color="auto" w:fill="auto"/>
          </w:tcPr>
          <w:p w:rsidR="008642B8" w:rsidRPr="008642B8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C27BD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8C27B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1721" w:type="dxa"/>
            <w:shd w:val="clear" w:color="auto" w:fill="auto"/>
          </w:tcPr>
          <w:p w:rsidR="008642B8" w:rsidRPr="008642B8" w:rsidRDefault="008C27BD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4</w:t>
            </w:r>
            <w:r w:rsidR="008642B8"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8642B8"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Війни XXI століття: механіка гібридної війни</w:t>
            </w: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P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Соцмережі як поле бою. Війни тролів і ботів. Фейки, меми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C27BD" w:rsidRPr="008642B8" w:rsidRDefault="008C27BD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</w:tcPr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Chifu Iulian., SimonsGreg. Rethinking Warfare in the 21st Century: The Influence and Effects of the Politics, Information and Communication. Cambridge University Press, 2023.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Fridman Ofer. Russian "Hybrid Warfare": Resurgence and Politicization. Oxford University Press, 2018.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Hybrid Warfare. JSOU Report 13-4.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Michael Yankoski, Walter Scheirer &amp; Tim Weninger.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Meme warfare: AI countermeasures to disinformation should focus on popular, not perfect, fakes, Bulletin of the Atomic Scientists, 2021, 77:3, 119-123.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Ralph Thiele (ed.) Hybrid Warfare: Future and Technologies. Springer VS, 2021.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Reichborn-Kjennerud Erik, Cullen Patrick.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is Hybrid Warfare? Norwegian Institute for International Affairs, 2016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Renz Bettina. Russia and ‘hybrid warfare’. Routledge, 2018.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JSOU Press. MacDill Air Force Base, Florida, 2013.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Померанцев Пітер.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Це не пропаганда. Подорож на війну проти реальності. Київ: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Yakaboo, 2020.</w:t>
            </w:r>
          </w:p>
          <w:p w:rsidR="00FF4807" w:rsidRPr="003E1C9B" w:rsidRDefault="00FF4807" w:rsidP="00FF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8642B8" w:rsidTr="008642B8">
        <w:trPr>
          <w:trHeight w:val="110"/>
        </w:trPr>
        <w:tc>
          <w:tcPr>
            <w:tcW w:w="542" w:type="dxa"/>
            <w:shd w:val="clear" w:color="auto" w:fill="auto"/>
          </w:tcPr>
          <w:p w:rsidR="008C27BD" w:rsidRPr="003E1C9B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  <w:p w:rsidR="008642B8" w:rsidRPr="008642B8" w:rsidRDefault="008642B8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3E1C9B" w:rsidRDefault="008C27BD" w:rsidP="008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="008642B8"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E1C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</w:tc>
        <w:tc>
          <w:tcPr>
            <w:tcW w:w="1721" w:type="dxa"/>
            <w:shd w:val="clear" w:color="auto" w:fill="auto"/>
          </w:tcPr>
          <w:p w:rsidR="00D755C6" w:rsidRPr="00D755C6" w:rsidRDefault="008642B8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Тема </w:t>
            </w:r>
            <w:r w:rsidR="008C27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D755C6"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смислення та виправдання війни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медіа</w:t>
            </w:r>
            <w:r w:rsidR="00D755C6"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5C6"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“Ми і вони”, “Чому ми воюємо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?”, </w:t>
            </w:r>
            <w:r w:rsidR="00D755C6"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“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 хороші – вони погані</w:t>
            </w:r>
            <w:r w:rsidR="00D755C6"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”</w:t>
            </w:r>
          </w:p>
          <w:p w:rsid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755C6" w:rsidRPr="00D755C6" w:rsidRDefault="00D755C6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8" w:rsidRPr="00D755C6" w:rsidRDefault="008642B8" w:rsidP="00D75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D755C6" w:rsidRDefault="00594041" w:rsidP="00594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Формулювання </w:t>
            </w:r>
            <w:r w:rsidR="0053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принципів пропаганди під час війни (командна робота);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Презентація та обговорення студентських робіт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C27BD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</w:tc>
        <w:tc>
          <w:tcPr>
            <w:tcW w:w="4081" w:type="dxa"/>
            <w:shd w:val="clear" w:color="auto" w:fill="auto"/>
          </w:tcPr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 Oxford: Elsevier, 2015, pp. 395–400.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Bernhard Nancy. U.S. Television News and Cold War Propaganda, 1947-1960,  University Press, 1999.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Burley Shane. Why We Fight: Essays on Fascism, Resistance, and Surviving the Apocalypse. AK Press, 2021.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International Encyclopedia of the Social &amp; Behavioral Sciences, 2nd edition, Vol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Martin Mike. Why We Fight. Hurst, 2018.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Scriver, Stacey. War Propaganda. In: James D. Wright (editor-in-chief),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War and American Popular Culture: A Historical Encyclopedia. Bloomsbury Academic, 1999.</w:t>
            </w:r>
          </w:p>
          <w:p w:rsidR="00FF4807" w:rsidRPr="008642B8" w:rsidRDefault="00FF4807" w:rsidP="00FF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642B8" w:rsidRPr="008642B8" w:rsidRDefault="00D755C6" w:rsidP="008C2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Накреслити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інформаційну стратегію для одного з трьох варіантів</w:t>
            </w:r>
            <w:r w:rsidRPr="00D75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(виправдання агресії, тривалості війни та поразки).</w:t>
            </w:r>
          </w:p>
        </w:tc>
        <w:tc>
          <w:tcPr>
            <w:tcW w:w="850" w:type="dxa"/>
            <w:shd w:val="clear" w:color="auto" w:fill="auto"/>
          </w:tcPr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тижд</w:t>
            </w:r>
            <w:r w:rsidRPr="003E50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3E505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642B8" w:rsidRPr="008642B8" w:rsidRDefault="008642B8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8642B8" w:rsidTr="008642B8">
        <w:trPr>
          <w:trHeight w:val="110"/>
        </w:trPr>
        <w:tc>
          <w:tcPr>
            <w:tcW w:w="542" w:type="dxa"/>
            <w:shd w:val="clear" w:color="auto" w:fill="auto"/>
          </w:tcPr>
          <w:p w:rsidR="008642B8" w:rsidRPr="008642B8" w:rsidRDefault="003E5058" w:rsidP="003E5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  <w:r w:rsidR="008642B8"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642B8" w:rsidRPr="008642B8" w:rsidRDefault="003E5058" w:rsidP="003E5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  <w:p w:rsidR="008642B8" w:rsidRPr="008642B8" w:rsidRDefault="008642B8" w:rsidP="003E5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8642B8" w:rsidRDefault="008642B8" w:rsidP="0074379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359F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Тема </w:t>
            </w:r>
            <w:r w:rsidR="008C27BD" w:rsidRPr="001359F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</w:t>
            </w:r>
            <w:r w:rsidRPr="001359F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.</w:t>
            </w:r>
            <w:r w:rsidR="001359F3" w:rsidRPr="001359F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359F3" w:rsidRPr="001359F3">
              <w:rPr>
                <w:rFonts w:asciiTheme="majorBidi" w:hAnsiTheme="majorBidi" w:cstheme="majorBidi"/>
              </w:rPr>
              <w:t>Тиха революція. Культурна ге</w:t>
            </w:r>
            <w:r w:rsidR="0074379B">
              <w:rPr>
                <w:rFonts w:asciiTheme="majorBidi" w:hAnsiTheme="majorBidi" w:cstheme="majorBidi"/>
              </w:rPr>
              <w:t>гемонія за</w:t>
            </w:r>
            <w:r w:rsidR="0074379B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74379B">
              <w:rPr>
                <w:rFonts w:asciiTheme="majorBidi" w:hAnsiTheme="majorBidi" w:cstheme="majorBidi"/>
              </w:rPr>
              <w:t>Ґ</w:t>
            </w:r>
            <w:r w:rsidR="001359F3" w:rsidRPr="001359F3">
              <w:rPr>
                <w:rFonts w:asciiTheme="majorBidi" w:hAnsiTheme="majorBidi" w:cstheme="majorBidi"/>
              </w:rPr>
              <w:t>рамші</w:t>
            </w:r>
            <w:r w:rsidR="001359F3">
              <w:rPr>
                <w:rFonts w:asciiTheme="majorBidi" w:hAnsiTheme="majorBidi" w:cstheme="majorBidi"/>
              </w:rPr>
              <w:t xml:space="preserve">. </w:t>
            </w:r>
            <w:r w:rsidR="001359F3" w:rsidRPr="001359F3">
              <w:rPr>
                <w:rFonts w:asciiTheme="majorBidi" w:hAnsiTheme="majorBidi" w:cstheme="majorBidi"/>
              </w:rPr>
              <w:t>Франкфуртська школа та її вплив як приклад реалізації культурної гегемонії</w:t>
            </w:r>
          </w:p>
          <w:p w:rsidR="003E5058" w:rsidRDefault="003E5058" w:rsidP="001359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5058" w:rsidRDefault="003E5058" w:rsidP="001359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5058" w:rsidRPr="001359F3" w:rsidRDefault="003E5058" w:rsidP="001359F3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Конструювання революції (гра-симуляція). Короткий огляд домашніх завдань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E5058" w:rsidRDefault="003E505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Семінар, 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</w:tcPr>
          <w:p w:rsidR="00053DA7" w:rsidRP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Cordesman Anthony H. Russia and the “Color Revolution”. A Russian Military View of a World Destabilized by the US</w:t>
            </w:r>
          </w:p>
          <w:p w:rsid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D. Ó Beacháin and A. Polese, ‘The Colour Revolution Virus and Authoritarian Antidotes:Political Protest and Regime Counter Attacks in Post-Communist Spaces’,Demokratizatsiya: The Journal of Post-soviet Democratization, 19, 2011, pp. 111-132.</w:t>
            </w:r>
          </w:p>
          <w:p w:rsid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Mitchell Lincoln A. The Color Revolutions. University of Pennsylvania Press, 2012.</w:t>
            </w:r>
          </w:p>
          <w:p w:rsid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Way Lucan. The Real Causes of the Color Revolutions. Journal of Democracy, 2008, Number 3 (July).</w:t>
            </w:r>
          </w:p>
          <w:p w:rsid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Bouchet Nicolas. Russia’s “militarization” of colour revolutions and the West. CSIS, 2014, May 28.</w:t>
            </w:r>
          </w:p>
          <w:p w:rsid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Since Ukraine’s EuroMaidan, Russia sees mass anti-regime protests at home and abroad as a military threat. Policy Perspectives, 2016, Vol. 4/2, January.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Landolt Laura K. Opportunities and constraints: comparing Tunisia and Egypt to the coloured revolutions. Democratization, 2014, 21:6, P. 984-1006.</w:t>
            </w:r>
          </w:p>
          <w:p w:rsidR="004A5F21" w:rsidRPr="00053DA7" w:rsidRDefault="004A5F21" w:rsidP="00053DA7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C74E1" w:rsidRDefault="001C74E1" w:rsidP="003E5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3E5058" w:rsidRDefault="003E5058" w:rsidP="003E5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Розібрати одну з сорока кольорових революцій за запропонованим планом.</w:t>
            </w:r>
          </w:p>
        </w:tc>
        <w:tc>
          <w:tcPr>
            <w:tcW w:w="850" w:type="dxa"/>
            <w:shd w:val="clear" w:color="auto" w:fill="auto"/>
          </w:tcPr>
          <w:p w:rsidR="008642B8" w:rsidRPr="001C74E1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тижд</w:t>
            </w: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42B8" w:rsidRPr="008642B8" w:rsidTr="008642B8">
        <w:trPr>
          <w:trHeight w:val="920"/>
        </w:trPr>
        <w:tc>
          <w:tcPr>
            <w:tcW w:w="542" w:type="dxa"/>
            <w:shd w:val="clear" w:color="auto" w:fill="auto"/>
          </w:tcPr>
          <w:p w:rsidR="008642B8" w:rsidRPr="00914DC5" w:rsidRDefault="003E5058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C74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42B8"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="008642B8"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="008642B8"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914DC5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642B8" w:rsidRPr="003E5058" w:rsidRDefault="003E5058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642B8"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-й тижд.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8642B8" w:rsidRPr="003E50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1721" w:type="dxa"/>
            <w:shd w:val="clear" w:color="auto" w:fill="auto"/>
          </w:tcPr>
          <w:p w:rsidR="001359F3" w:rsidRDefault="008642B8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8C27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359F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59F3" w:rsidRP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Маркетингові війни, протистояння у сфері комерції</w:t>
            </w:r>
            <w:r w:rsid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P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C74E1" w:rsidRDefault="001C74E1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1C74E1" w:rsidRDefault="001359F3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“Кока-кола” проти “Пепсі”</w:t>
            </w:r>
            <w:r w:rsidR="001C74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маркетингова війна</w:t>
            </w:r>
            <w:r w:rsidR="001C74E1" w:rsidRPr="001C74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1C74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 симуляція</w:t>
            </w:r>
            <w:r w:rsidR="001C74E1" w:rsidRPr="001C74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="001C74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4A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</w:tcPr>
          <w:p w:rsidR="00053DA7" w:rsidRPr="00053DA7" w:rsidRDefault="00053DA7" w:rsidP="00053DA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14DC5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Dominguez Lauren. Nike vs. Adidas.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International relations journal, 2020, issue 39, P. 37 – 47.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Morris</w:t>
            </w:r>
            <w:r w:rsidRPr="00914D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Langdon</w:t>
            </w:r>
            <w:r w:rsidRPr="00914D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Business Model Warfare”, Journal of Business Models, 2014, Vol. 1, No. 1, P. 13-37.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Munro Iain. Information Warfare in Business: Strategies of Control and Resistance in the Network Society. 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Taylor &amp; Francis, 2004.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Stole, Inger L. Advertising at War: Business, Consumers, and Government in the 1940s. University of Illinois Press, 2012.</w:t>
            </w:r>
          </w:p>
          <w:p w:rsidR="00053DA7" w:rsidRPr="0068674D" w:rsidRDefault="00053DA7" w:rsidP="00053DA7">
            <w:pPr>
              <w:pStyle w:val="TableParagraph"/>
              <w:numPr>
                <w:ilvl w:val="0"/>
                <w:numId w:val="28"/>
              </w:numPr>
              <w:ind w:left="174" w:firstLine="0"/>
              <w:jc w:val="both"/>
              <w:rPr>
                <w:lang w:val="ru-RU"/>
              </w:rPr>
            </w:pPr>
            <w:r w:rsidRPr="0068674D">
              <w:rPr>
                <w:lang w:val="ru-RU"/>
              </w:rPr>
              <w:t>Траут</w:t>
            </w:r>
            <w:r>
              <w:rPr>
                <w:lang w:val="ru-RU"/>
              </w:rPr>
              <w:t xml:space="preserve"> </w:t>
            </w:r>
            <w:r w:rsidRPr="0068674D">
              <w:rPr>
                <w:lang w:val="ru-RU"/>
              </w:rPr>
              <w:t>Джек, Райс</w:t>
            </w:r>
            <w:r>
              <w:rPr>
                <w:lang w:val="ru-RU"/>
              </w:rPr>
              <w:t xml:space="preserve"> </w:t>
            </w:r>
            <w:r w:rsidRPr="0068674D">
              <w:rPr>
                <w:lang w:val="ru-RU"/>
              </w:rPr>
              <w:t>Ел</w:t>
            </w:r>
            <w:r>
              <w:rPr>
                <w:lang w:val="ru-RU"/>
              </w:rPr>
              <w:t>.</w:t>
            </w:r>
            <w:r w:rsidRPr="0068674D">
              <w:rPr>
                <w:lang w:val="ru-RU"/>
              </w:rPr>
              <w:t xml:space="preserve"> Маркетингові війни</w:t>
            </w:r>
            <w:r>
              <w:rPr>
                <w:lang w:val="ru-RU"/>
              </w:rPr>
              <w:t>. Фабула, 2019.</w:t>
            </w:r>
          </w:p>
          <w:p w:rsidR="001C74E1" w:rsidRPr="00C015CB" w:rsidRDefault="001C74E1" w:rsidP="00C01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8642B8" w:rsidRPr="008642B8" w:rsidRDefault="001C74E1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Систематизувати ключові прийоми і методи інформаційної війни у царині маркетингу. Підготуватися до гри за запропонованою схемою.</w:t>
            </w:r>
          </w:p>
        </w:tc>
        <w:tc>
          <w:tcPr>
            <w:tcW w:w="850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тижд.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4A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2B8" w:rsidRPr="006525F3" w:rsidTr="008642B8">
        <w:trPr>
          <w:trHeight w:val="118"/>
        </w:trPr>
        <w:tc>
          <w:tcPr>
            <w:tcW w:w="542" w:type="dxa"/>
            <w:shd w:val="clear" w:color="auto" w:fill="auto"/>
          </w:tcPr>
          <w:p w:rsidR="008642B8" w:rsidRPr="001C74E1" w:rsidRDefault="008642B8" w:rsidP="00D83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831D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831D4" w:rsidRPr="001C74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="00D831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="00D831D4" w:rsidRPr="001C74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D831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</w:t>
            </w:r>
            <w:r w:rsidR="00D831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жд</w:t>
            </w:r>
            <w:r w:rsidR="00D831D4" w:rsidRPr="001C74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2</w:t>
            </w:r>
            <w:r w:rsidRPr="001C74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C015CB" w:rsidRDefault="008642B8" w:rsidP="00D83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642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831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864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тижд</w:t>
            </w:r>
            <w:r w:rsidRPr="00914D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="00D831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015C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13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525F3" w:rsidRPr="008642B8" w:rsidRDefault="006525F3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C015CB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1" w:type="dxa"/>
            <w:shd w:val="clear" w:color="auto" w:fill="auto"/>
          </w:tcPr>
          <w:p w:rsidR="001359F3" w:rsidRPr="001359F3" w:rsidRDefault="008642B8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Тема </w:t>
            </w:r>
            <w:r w:rsidR="008C27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642B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359F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59F3" w:rsidRP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Сфера відпочинку як майданчик для </w:t>
            </w:r>
            <w:r w:rsidR="001359F3" w:rsidRP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інформаційного протистояння: мода, музика, серіали</w:t>
            </w: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59F3" w:rsidRDefault="001359F3" w:rsidP="00135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A31C5" w:rsidRDefault="00FA31C5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1359F3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Нетфлікс: cеріал як носій ідеологічної установки</w:t>
            </w:r>
            <w:r w:rsidR="006525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Конструювання спільної візуалізації на основі домашнього завдання</w:t>
            </w:r>
          </w:p>
        </w:tc>
        <w:tc>
          <w:tcPr>
            <w:tcW w:w="852" w:type="dxa"/>
            <w:shd w:val="clear" w:color="auto" w:fill="auto"/>
          </w:tcPr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642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Лекція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C74E1" w:rsidRDefault="001C74E1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525F3" w:rsidRDefault="006525F3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642B8" w:rsidRPr="008642B8" w:rsidRDefault="001C74E1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Семінар</w:t>
            </w:r>
          </w:p>
          <w:p w:rsidR="008642B8" w:rsidRPr="008642B8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</w:tcPr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Briandana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Rizki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Marta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Rustono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Farady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Mijan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Rohana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Fauzi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Perwitasari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Ideology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Racism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Contemporary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HollywoodFilms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Netflix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Case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All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Boys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Loved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Before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Jurnal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Komunikasi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Indonesia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2022,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Vol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11: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No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1,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Article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Pallister Kathryn. Netflix Nostalgia: Streaming the Past on Demand. Rowman &amp; Littlefield, 2019.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 Gerard. Individual Disruptors and Economic Gamechangers: Netflix, New Media, and Neoliberalism / The Netflix Effect : Technology and Entertainment in the 21st Century, edited by Kevin McDonald, and Daniel Smith-Rowsey. Bloomsbury Academic &amp; Professional, 2016.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Почепцов Георгий Гламур 2.0: телесериалы, масскульт и соцмедиа как создатели виртуальной реальности. Харьков: Фолио, 2018.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Почепцов Георгий. Когнитивные войны в соцмедиа, массовой культуре и массовых коммуникациях. </w:t>
            </w: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Харьков: Фолио, 2019.</w:t>
            </w:r>
          </w:p>
          <w:p w:rsidR="00053DA7" w:rsidRPr="00053DA7" w:rsidRDefault="00053DA7" w:rsidP="00053DA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53D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Почепцов Георгий. Управление будущим. Харьков: Фолио, 2019.</w:t>
            </w:r>
          </w:p>
          <w:p w:rsidR="006525F3" w:rsidRPr="00914DC5" w:rsidRDefault="006525F3" w:rsidP="006525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C74E1" w:rsidRPr="008642B8" w:rsidRDefault="006525F3" w:rsidP="001C7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Розібрати стрімінговий сервіс Нетфлікс на предмет поширення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ідеологічних установок (із конкретними прикладами) </w:t>
            </w:r>
          </w:p>
        </w:tc>
        <w:tc>
          <w:tcPr>
            <w:tcW w:w="850" w:type="dxa"/>
            <w:shd w:val="clear" w:color="auto" w:fill="auto"/>
          </w:tcPr>
          <w:p w:rsidR="006525F3" w:rsidRPr="006525F3" w:rsidRDefault="006525F3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тижд.</w:t>
            </w: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6525F3" w:rsidRDefault="008642B8" w:rsidP="00864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642B8" w:rsidRPr="008642B8" w:rsidRDefault="008642B8" w:rsidP="0065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42B8" w:rsidRPr="006525F3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B8" w:rsidRPr="006525F3" w:rsidRDefault="008642B8" w:rsidP="0086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1C5" w:rsidRDefault="00FA31C5" w:rsidP="00C35BF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42B8" w:rsidRPr="00C35BF1" w:rsidRDefault="00C35BF1" w:rsidP="00C35BF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Підготував </w:t>
      </w:r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доцент</w:t>
      </w:r>
      <w:r w:rsidR="008642B8"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</w:t>
      </w:r>
      <w:r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рій</w:t>
      </w:r>
      <w:r w:rsidR="008642B8" w:rsidRPr="00C3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МЕЛЬНИК</w:t>
      </w:r>
    </w:p>
    <w:bookmarkEnd w:id="0"/>
    <w:p w:rsidR="008642B8" w:rsidRPr="006525F3" w:rsidRDefault="008642B8" w:rsidP="008642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D6097" w:rsidRDefault="00AD6097" w:rsidP="00976D44">
      <w:pPr>
        <w:pStyle w:val="TableParagraph"/>
      </w:pPr>
    </w:p>
    <w:p w:rsidR="00AD6097" w:rsidRDefault="00AD6097" w:rsidP="0064510E">
      <w:pPr>
        <w:pStyle w:val="TableParagraph"/>
        <w:ind w:left="720"/>
      </w:pPr>
    </w:p>
    <w:p w:rsidR="006B7B50" w:rsidRDefault="006B7B50" w:rsidP="00D755C6">
      <w:pPr>
        <w:contextualSpacing/>
      </w:pPr>
    </w:p>
    <w:p w:rsidR="00631732" w:rsidRDefault="00631732" w:rsidP="00631732">
      <w:pPr>
        <w:contextualSpacing/>
      </w:pPr>
    </w:p>
    <w:p w:rsidR="0068674D" w:rsidRPr="006B7B50" w:rsidRDefault="0068674D" w:rsidP="0068674D">
      <w:pPr>
        <w:pStyle w:val="a3"/>
      </w:pPr>
    </w:p>
    <w:p w:rsidR="006B7B50" w:rsidRPr="006B7B50" w:rsidRDefault="006B7B50" w:rsidP="006B7B50"/>
    <w:p w:rsidR="006B7B50" w:rsidRPr="0027788B" w:rsidRDefault="006B7B50" w:rsidP="0068674D">
      <w:pPr>
        <w:pStyle w:val="TableParagraph"/>
      </w:pPr>
    </w:p>
    <w:sectPr w:rsidR="006B7B50" w:rsidRPr="0027788B" w:rsidSect="008642B8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66" w:rsidRDefault="00316366">
      <w:pPr>
        <w:spacing w:after="0" w:line="240" w:lineRule="auto"/>
      </w:pPr>
      <w:r>
        <w:separator/>
      </w:r>
    </w:p>
  </w:endnote>
  <w:endnote w:type="continuationSeparator" w:id="0">
    <w:p w:rsidR="00316366" w:rsidRDefault="0031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73" w:rsidRDefault="00343E73" w:rsidP="008642B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A31C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66" w:rsidRDefault="00316366">
      <w:pPr>
        <w:spacing w:after="0" w:line="240" w:lineRule="auto"/>
      </w:pPr>
      <w:r>
        <w:separator/>
      </w:r>
    </w:p>
  </w:footnote>
  <w:footnote w:type="continuationSeparator" w:id="0">
    <w:p w:rsidR="00316366" w:rsidRDefault="0031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DD"/>
    <w:multiLevelType w:val="hybridMultilevel"/>
    <w:tmpl w:val="7E7831F2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B2C"/>
    <w:multiLevelType w:val="hybridMultilevel"/>
    <w:tmpl w:val="251C0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888"/>
    <w:multiLevelType w:val="hybridMultilevel"/>
    <w:tmpl w:val="71DEE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A8D"/>
    <w:multiLevelType w:val="hybridMultilevel"/>
    <w:tmpl w:val="A4BC48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47F3"/>
    <w:multiLevelType w:val="hybridMultilevel"/>
    <w:tmpl w:val="06EC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736"/>
    <w:multiLevelType w:val="hybridMultilevel"/>
    <w:tmpl w:val="5E348618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1CD2"/>
    <w:multiLevelType w:val="hybridMultilevel"/>
    <w:tmpl w:val="AA502D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80E41"/>
    <w:multiLevelType w:val="hybridMultilevel"/>
    <w:tmpl w:val="0C36CE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2C55"/>
    <w:multiLevelType w:val="hybridMultilevel"/>
    <w:tmpl w:val="EFA093EE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6DCB"/>
    <w:multiLevelType w:val="hybridMultilevel"/>
    <w:tmpl w:val="9E4079A8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B6D66"/>
    <w:multiLevelType w:val="hybridMultilevel"/>
    <w:tmpl w:val="4F4C7C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46E4"/>
    <w:multiLevelType w:val="hybridMultilevel"/>
    <w:tmpl w:val="F4FE5AA2"/>
    <w:lvl w:ilvl="0" w:tplc="5E5EBC2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681D"/>
    <w:multiLevelType w:val="hybridMultilevel"/>
    <w:tmpl w:val="CD722DA2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48F3"/>
    <w:multiLevelType w:val="hybridMultilevel"/>
    <w:tmpl w:val="CD76A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6F99"/>
    <w:multiLevelType w:val="hybridMultilevel"/>
    <w:tmpl w:val="44C8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4793"/>
    <w:multiLevelType w:val="hybridMultilevel"/>
    <w:tmpl w:val="39E8E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3CBC"/>
    <w:multiLevelType w:val="hybridMultilevel"/>
    <w:tmpl w:val="8FA06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0EBF"/>
    <w:multiLevelType w:val="hybridMultilevel"/>
    <w:tmpl w:val="EF983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CA0"/>
    <w:multiLevelType w:val="hybridMultilevel"/>
    <w:tmpl w:val="06EC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75897"/>
    <w:multiLevelType w:val="hybridMultilevel"/>
    <w:tmpl w:val="7BC47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A2BE4"/>
    <w:multiLevelType w:val="hybridMultilevel"/>
    <w:tmpl w:val="15547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19AE"/>
    <w:multiLevelType w:val="hybridMultilevel"/>
    <w:tmpl w:val="9BC098D8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C86"/>
    <w:multiLevelType w:val="hybridMultilevel"/>
    <w:tmpl w:val="72A0009C"/>
    <w:lvl w:ilvl="0" w:tplc="5EB6C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240"/>
    <w:multiLevelType w:val="hybridMultilevel"/>
    <w:tmpl w:val="7D221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A0CAF"/>
    <w:multiLevelType w:val="hybridMultilevel"/>
    <w:tmpl w:val="24540BDC"/>
    <w:lvl w:ilvl="0" w:tplc="5EB6C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87C4D"/>
    <w:multiLevelType w:val="hybridMultilevel"/>
    <w:tmpl w:val="F1DC3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03AD"/>
    <w:multiLevelType w:val="hybridMultilevel"/>
    <w:tmpl w:val="4DC04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C3232"/>
    <w:multiLevelType w:val="hybridMultilevel"/>
    <w:tmpl w:val="B3EE2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37369"/>
    <w:multiLevelType w:val="hybridMultilevel"/>
    <w:tmpl w:val="EFA093EE"/>
    <w:lvl w:ilvl="0" w:tplc="70D05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16"/>
  </w:num>
  <w:num w:numId="8">
    <w:abstractNumId w:val="24"/>
  </w:num>
  <w:num w:numId="9">
    <w:abstractNumId w:val="27"/>
  </w:num>
  <w:num w:numId="10">
    <w:abstractNumId w:val="10"/>
  </w:num>
  <w:num w:numId="11">
    <w:abstractNumId w:val="22"/>
  </w:num>
  <w:num w:numId="12">
    <w:abstractNumId w:val="13"/>
  </w:num>
  <w:num w:numId="13">
    <w:abstractNumId w:val="1"/>
  </w:num>
  <w:num w:numId="14">
    <w:abstractNumId w:val="19"/>
  </w:num>
  <w:num w:numId="15">
    <w:abstractNumId w:val="23"/>
  </w:num>
  <w:num w:numId="16">
    <w:abstractNumId w:val="2"/>
  </w:num>
  <w:num w:numId="17">
    <w:abstractNumId w:val="25"/>
  </w:num>
  <w:num w:numId="18">
    <w:abstractNumId w:val="4"/>
  </w:num>
  <w:num w:numId="19">
    <w:abstractNumId w:val="18"/>
  </w:num>
  <w:num w:numId="20">
    <w:abstractNumId w:val="26"/>
  </w:num>
  <w:num w:numId="21">
    <w:abstractNumId w:val="7"/>
  </w:num>
  <w:num w:numId="22">
    <w:abstractNumId w:val="20"/>
  </w:num>
  <w:num w:numId="23">
    <w:abstractNumId w:val="0"/>
  </w:num>
  <w:num w:numId="24">
    <w:abstractNumId w:val="9"/>
  </w:num>
  <w:num w:numId="25">
    <w:abstractNumId w:val="21"/>
  </w:num>
  <w:num w:numId="26">
    <w:abstractNumId w:val="8"/>
  </w:num>
  <w:num w:numId="27">
    <w:abstractNumId w:val="28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8"/>
    <w:rsid w:val="000375EC"/>
    <w:rsid w:val="00053DA7"/>
    <w:rsid w:val="000F49EF"/>
    <w:rsid w:val="001359F3"/>
    <w:rsid w:val="001B76D3"/>
    <w:rsid w:val="001C69A8"/>
    <w:rsid w:val="001C74E1"/>
    <w:rsid w:val="001E2997"/>
    <w:rsid w:val="002769D4"/>
    <w:rsid w:val="0027788B"/>
    <w:rsid w:val="002A2A84"/>
    <w:rsid w:val="00313AC3"/>
    <w:rsid w:val="00316366"/>
    <w:rsid w:val="00343E73"/>
    <w:rsid w:val="00375CCE"/>
    <w:rsid w:val="003E1C9B"/>
    <w:rsid w:val="003E5058"/>
    <w:rsid w:val="003F39EA"/>
    <w:rsid w:val="0045478A"/>
    <w:rsid w:val="004A5F21"/>
    <w:rsid w:val="004B0ED4"/>
    <w:rsid w:val="004C5DCF"/>
    <w:rsid w:val="005349A8"/>
    <w:rsid w:val="00546AEE"/>
    <w:rsid w:val="00594041"/>
    <w:rsid w:val="005B084E"/>
    <w:rsid w:val="00601537"/>
    <w:rsid w:val="00606F8E"/>
    <w:rsid w:val="00631732"/>
    <w:rsid w:val="0064510E"/>
    <w:rsid w:val="006525F3"/>
    <w:rsid w:val="00654972"/>
    <w:rsid w:val="0068674D"/>
    <w:rsid w:val="006B7B50"/>
    <w:rsid w:val="006F67B5"/>
    <w:rsid w:val="00712CE1"/>
    <w:rsid w:val="0074379B"/>
    <w:rsid w:val="00766547"/>
    <w:rsid w:val="0077739F"/>
    <w:rsid w:val="007E7CE9"/>
    <w:rsid w:val="008320D3"/>
    <w:rsid w:val="008642B8"/>
    <w:rsid w:val="008C27BD"/>
    <w:rsid w:val="00914DC5"/>
    <w:rsid w:val="0097383D"/>
    <w:rsid w:val="00974D43"/>
    <w:rsid w:val="00976D44"/>
    <w:rsid w:val="009954F0"/>
    <w:rsid w:val="009B6FCC"/>
    <w:rsid w:val="00A6130E"/>
    <w:rsid w:val="00AB7CEE"/>
    <w:rsid w:val="00AC1F06"/>
    <w:rsid w:val="00AD6097"/>
    <w:rsid w:val="00AF291B"/>
    <w:rsid w:val="00B1673F"/>
    <w:rsid w:val="00BB2B59"/>
    <w:rsid w:val="00C015CB"/>
    <w:rsid w:val="00C142C1"/>
    <w:rsid w:val="00C35BF1"/>
    <w:rsid w:val="00C87FBE"/>
    <w:rsid w:val="00C926C0"/>
    <w:rsid w:val="00D5767F"/>
    <w:rsid w:val="00D755C6"/>
    <w:rsid w:val="00D831D4"/>
    <w:rsid w:val="00EA064D"/>
    <w:rsid w:val="00EA0D73"/>
    <w:rsid w:val="00ED0B91"/>
    <w:rsid w:val="00F50EE4"/>
    <w:rsid w:val="00FA31C5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6A"/>
  <w15:chartTrackingRefBased/>
  <w15:docId w15:val="{074EB40E-9939-4AAA-B2D0-A78CFFC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2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42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8642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642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8642B8"/>
    <w:pPr>
      <w:keepNext/>
      <w:spacing w:after="0" w:line="280" w:lineRule="exact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2B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642B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642B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642B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642B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8642B8"/>
  </w:style>
  <w:style w:type="paragraph" w:styleId="a3">
    <w:name w:val="List Paragraph"/>
    <w:basedOn w:val="a"/>
    <w:uiPriority w:val="34"/>
    <w:qFormat/>
    <w:rsid w:val="008642B8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lang w:val="tr-TR"/>
    </w:rPr>
  </w:style>
  <w:style w:type="character" w:styleId="a4">
    <w:name w:val="Hyperlink"/>
    <w:uiPriority w:val="99"/>
    <w:unhideWhenUsed/>
    <w:rsid w:val="008642B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8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uiPriority w:val="99"/>
    <w:semiHidden/>
    <w:unhideWhenUsed/>
    <w:rsid w:val="008642B8"/>
    <w:rPr>
      <w:rFonts w:cs="Times New Roman"/>
      <w:color w:val="800080"/>
      <w:u w:val="single"/>
    </w:rPr>
  </w:style>
  <w:style w:type="paragraph" w:customStyle="1" w:styleId="BodyTextIndent31">
    <w:name w:val="Body Text Indent 31"/>
    <w:basedOn w:val="a"/>
    <w:rsid w:val="008642B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8642B8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8642B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864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8642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"/>
    <w:basedOn w:val="a"/>
    <w:uiPriority w:val="99"/>
    <w:unhideWhenUsed/>
    <w:rsid w:val="008642B8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rsid w:val="0086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642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Абзац списка1"/>
    <w:basedOn w:val="a"/>
    <w:qFormat/>
    <w:rsid w:val="008642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rsid w:val="0086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виноски Знак"/>
    <w:basedOn w:val="a0"/>
    <w:link w:val="ac"/>
    <w:rsid w:val="008642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uiPriority w:val="99"/>
    <w:semiHidden/>
    <w:rsid w:val="008642B8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86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кінцевої виноски Знак"/>
    <w:basedOn w:val="a0"/>
    <w:link w:val="af"/>
    <w:semiHidden/>
    <w:rsid w:val="008642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Body Text"/>
    <w:basedOn w:val="a"/>
    <w:link w:val="af2"/>
    <w:uiPriority w:val="99"/>
    <w:rsid w:val="008642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нак"/>
    <w:basedOn w:val="a0"/>
    <w:link w:val="af1"/>
    <w:uiPriority w:val="99"/>
    <w:rsid w:val="008642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iPriority w:val="99"/>
    <w:semiHidden/>
    <w:unhideWhenUsed/>
    <w:rsid w:val="008642B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unhideWhenUsed/>
    <w:rsid w:val="008642B8"/>
    <w:pPr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8642B8"/>
    <w:rPr>
      <w:rFonts w:ascii="Calibri" w:eastAsia="Calibri" w:hAnsi="Calibri" w:cs="Times New Roman"/>
      <w:lang w:val="ru-RU"/>
    </w:rPr>
  </w:style>
  <w:style w:type="paragraph" w:customStyle="1" w:styleId="description">
    <w:name w:val="description"/>
    <w:basedOn w:val="a"/>
    <w:rsid w:val="008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64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Незакрита згадка"/>
    <w:uiPriority w:val="99"/>
    <w:semiHidden/>
    <w:unhideWhenUsed/>
    <w:rsid w:val="008642B8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8642B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64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8">
    <w:name w:val="Текст примітки Знак"/>
    <w:basedOn w:val="a0"/>
    <w:link w:val="af7"/>
    <w:uiPriority w:val="99"/>
    <w:rsid w:val="008642B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42B8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8642B8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8642B8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8642B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d">
    <w:name w:val="Revision"/>
    <w:hidden/>
    <w:uiPriority w:val="99"/>
    <w:semiHidden/>
    <w:rsid w:val="00864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e">
    <w:name w:val="Table Grid"/>
    <w:basedOn w:val="a1"/>
    <w:uiPriority w:val="39"/>
    <w:rsid w:val="008642B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wp-content/uploads/2022/09/sylabus-...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rii.melnyk@lnu.edu.ua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ysty.net.ua/fake-new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11</Pages>
  <Words>18743</Words>
  <Characters>10684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Melnyk</dc:creator>
  <cp:keywords/>
  <dc:description/>
  <cp:lastModifiedBy>Yuriy Melnyk</cp:lastModifiedBy>
  <cp:revision>10</cp:revision>
  <dcterms:created xsi:type="dcterms:W3CDTF">2023-07-30T07:50:00Z</dcterms:created>
  <dcterms:modified xsi:type="dcterms:W3CDTF">2023-09-03T14:07:00Z</dcterms:modified>
</cp:coreProperties>
</file>